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SÍNDICO DE CONDOMÍNIO</w:t>
      </w:r>
    </w:p>
    <w:p/>
    <w:p>
      <w:r>
        <w:rPr>
          <w:b/>
          <w:bCs/>
        </w:rPr>
        <w:t xml:space="preserve">Recurso: </w:t>
      </w:r>
      <w:r>
        <w:t xml:space="preserve">apelação. -</w:t>
      </w:r>
    </w:p>
    <w:p/>
    <w:p>
      <w:r>
        <w:t xml:space="preserve">FURTO DE VEÍCULO — QUANDO NÃO RESPONDE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.................................................. - Convém desde logo esclarecer que a responsabilidade do réu, no caso em comento, repousa na teoria da culpa e não da responsabilidade objetiva, conforme afirmado na apelação. - Desse modo, incumbe ao autor o ônus da prova de que se encontram presentes os elementos estruturais do ato ilícito. - Em torno do furto do veículo e o local em que teria ocorrido não há controvérsia, pois o fato não foi contestado pelo réu. Resta indagar da culpa deste na produção do evento. - De acordo com a convenção, as vagas para estacionamento de automóveis constituem coisas de uso próprio de cada condômino, unidades autônomas e alienáveis, devendo os proprietários manter manobreiro para o fim ali especificado ... . - Desse modo, a responsabilidade pela guarda dos veículos é dos proprietários-usuários da vaga, somente respondendo o condomínio acaso cabalmente provado ter concorrido culposamente para a prática do ato lesivo. - Os proprietários das vagas, ao que se depreende dos autos, não mantinham manobreiros, sequer uma pessoa destinada à vigilância dos veículos. Detêm a chave ou controle remoto dos portões de acesso à garagem e o ingresso a esta é feito sem a participação dos empregados do condomínio. - A circunstância de que ficava na portaria uma chave para os casos de necessidade só influenciaria no deslinde da demanda desde que provado foi com o uso dessa mesma chave que o furto foi cometido, pois, aí sim, haveria culpa do porteiro, mas não em função da guarda do veículo, que não detinha, mas da chave de acesso à garagem. - De igual, mostra-se desinfluente o fato de que é atribuição dos empregados exercer a vigilância do edifício e o policiamento interno, posto que tais encargos não se estende às unidades autônomas, competindo aos proprietários zelar pela sua segurança. - Destarte, não provada a culpa do condomínio, afigura-se improsperável o pedido de indenização. Ac. de 27-06-1995 Arquivo do EMFOR - TJ/2.594 EMFOR 564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... O condomínio não responde por furtos ocorridos na garagem do edifício quando não provada a culpa de seus prepostos, máxime se as vagas são consideradas unidades autônomas e os seus proprietários não mantêm vigilantes.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2026-10-26T02:00:59.980Z</dcterms:created>
  <dcterms:modified xsi:type="dcterms:W3CDTF">2026-10-26T02:00:59.980Z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