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SÍNDICO DE CONDOMÍNIO</w:t>
      </w:r>
    </w:p>
    <w:p/>
    <w:p>
      <w:r>
        <w:rPr>
          <w:b/>
          <w:bCs/>
        </w:rPr>
        <w:t xml:space="preserve">Recurso: </w:t>
      </w:r>
      <w:r>
        <w:t xml:space="preserve">AP 1-</w:t>
      </w:r>
    </w:p>
    <w:p/>
    <w:p>
      <w:r>
        <w:t xml:space="preserve">03. EDIFICAÇÕES E INCORPORAÇÕES IMOBILIÁRIAS — DISPÕE SOBRE
TÍTULO II - DAS INCORPORAÇÕES</w:t>
      </w:r>
    </w:p>
    <w:p/>
    <w:p>
      <w:pPr>
        <w:pStyle w:val="Heading2"/>
      </w:pPr>
      <w:r>
        <w:rPr>
          <w:b/>
          <w:bCs/>
        </w:rPr>
        <w:t xml:space="preserve">Ementa</w:t>
      </w:r>
    </w:p>
    <w:p>
      <w:r>
        <w:t xml:space="preserve">CAPÍTULO IV - DAS INFRAÇÕES Art. 63 - É lícito estipular no contrato, sem prejuízo de outras sanções, que a falta de pagamento, por parte do adquirente ou contratante, de 3 prestações do preço da construção, quer estabelecidas inicialmente, quer alteradas ou criadas posteriormente, quando for o caso, depois de prévia notificação com o prazo de 10 dias para purgação da mora, implique na rescisão do contrato, conforme nele se fixar, ou que, na falta de pagamento, pelo débito respondem os direitos à respectiva fração ideal de terreno e à parte construída adicionada na forma abaixo estabelecida, se outra forma não fixar o contrato. § 1º - Se o débito não for liquidado no prazo de 10 dias, após solicitação da Comissão de Representantes, esta ficará, desde logo, de pleno direito, autorizada a efetuar, no prazo que fixar, em público leilão anunciado pela forma que o contrato previr, a venda, promessa de venda ou de cessão, ou a cessão da cota de terreno e correspondente parte construída e direitos, bem como a sub-rogação do contrato de construção. § 2º - Se o maior lanço obtido for inferior ao desembolso efetuado pelo inadimplente, para a cota do terreno e a construção, despesas acarretadas e as percentagens expressas no parágrafo seguinte, será realizada nova praça no prazo estipulado no contrato. Nesta segunda praça será aceito o maior lanço apurado, ainda que inferior àquele total (VETADO). § 3º - No prazo de 24 horas após a realização do leilão final, o condomínio, por decisão unânime de assembléia geral em condições de igualdade com terceiros, terá preferência na aquisição dos bens, caso em que serão adjudicados ao condomínio. § 4º - Do preço que for apurado no leilão, serão deduzidas as quantias em débito, todas as despesas ocorridas, inclusive honorários de advogado e anúncios, e mais 5% a título de comissão e 10% de multa compensatória, que reverterão em benefício do condomínio de todos os contratantes, com exce ção do faltoso, ao qual será entregue o saldo, se houver. § 5º - Para os fins das medidas estipuladas neste artigo, a Comissão de Representantes ficará investida de mandato irrevogável, isento do imposto do selo, na vigência do contrato geral de construção da obra, com poderes necessários para, em nome do condômino inadimplente, efetuar as citadas transações, podendo para este fim fixar preços, ajustar condições, sub-rogar o arrematante nos direitos e obrigações decorrentes do contrato de construção e da cota de terreno e construção; outorgar as competentes escrituras e contratos , receber preços, dar quitações; imitir o arrematante na posse do imóvel; transmitir domínio, direito e ação; responder pela evicção; receber citação, propor e variar de ações; e também dos poderes "ad judicia", a serem substabelecidos a advogado legalmente habilitado. § 6º - A morte, falência ou concordata do condômino ou sua dissolução, se tratar de sociedade, não revogará o mandato de que trata o parágrafo anterior, o qual poderá ser exercido pela Comissão de Representantes até a conclusão dos pagamentos devidos, ainda que a unidade pertença a menor de idade. § 7º - Os eventuais débitos, fiscais ou para com a Previdência Social, não impedirão a alienação por leilão público. Neste caso, ao condômino somente será entregue o saldo, se houver, desde que prove estar quite com o Fisco e a Previdência Social, devendo a Comissão de Representantes, em caso contrário, consignar judicialmente a importância equivalente aos débitos existentes, dando ciência do fato à entidade credora. § 8º - Independentemente das disposições deste artigo e seus parágrafos, e como penalidades preliminares, poderá o contrato de construção estabelecer a incidência de multas e juros de mora em caso de atraso no depósito de contribuições, sem prejuízo do disposto no parágrafo seguinte. § 9º - O contrato poderá dispor que o valor das prestações pagas com atraso seja corrigível em função da variação do índice geral de preços mensalmente publicado pelo Conselho Nacional de Economia, que reflita as oscilações do poder aquisitivo da moeda nacional. § 10º - O membro da Comissão de Representantes que incorrer na falta prevista neste artigo, estará sujeito à perda automática do mandato e deverá ser substituído segundo dispuser o contrato. Art. 64 - Os órgãos de informação e publicidade que divulgarem publicidade sem os requisitos exigidos pelo § 3º do art. 32 e pelos arts. 56 e 62, desta lei, sujeitar-se-ão à multa em importância correspondente ao dobro do preço pago pelo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2026-07-27T23:17:29.808Z</dcterms:created>
  <dcterms:modified xsi:type="dcterms:W3CDTF">2026-07-27T23:17:29.808Z</dcterms:modified>
</cp:coreProperties>
</file>

<file path=docProps/custom.xml><?xml version="1.0" encoding="utf-8"?>
<Properties xmlns="http://schemas.openxmlformats.org/officeDocument/2006/custom-properties" xmlns:vt="http://schemas.openxmlformats.org/officeDocument/2006/docPropsVTypes"/>
</file>