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SÍNDICO DE CONDOMÍNIO</w:t>
      </w:r>
    </w:p>
    <w:p/>
    <w:p/>
    <w:p>
      <w:r>
        <w:t xml:space="preserve">LEI 4.591/64 — §4º DO ART. 24 -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9.267, DE 25 DE MARÇO DE 1996 Altera a redação do § 4º do art. 24 da Lei nº 4.591, de 16 de dezembro de 1964, que dispõe sobre o condomínio em edificações e as incorporações imobiliares. O PRESIDENTE DA REPÚBLICA Faço saber que o Congresso Nacional decreta e eu sanciono a seguinte Lei: Art. 1º O § 4º do art. 24 da Lei nº 4.591, de 16 de dezembro de 1964, acrescido pelo art. 83 da Lei nº 8.245, de 18 de outubro de 1991, passa a vigorar com a seguinte redação: "Art. 24. ................................................................ ........................................................................ § 4º Nas decisões da Assembléia que não envolvam despesas extraordinárias do condomínio, o locatário poderá votar, caso o condomínio-locador a ela não compareça." Art. 2º Esta Lei entra em vigor na data de sua publicação. Brasília, 25 de março de 1996; 175º da Independência e 108º da República. FERNANDO HENRIQUE CARDOSO Milton Seligman ALTERAÇÕES NT Atualizada 10/97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2026-07-28T01:58:41.877Z</dcterms:created>
  <dcterms:modified xsi:type="dcterms:W3CDTF">2026-07-28T01:58:41.877Z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