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DEPÓSITO</w:t>
      </w:r>
    </w:p>
    <w:p>
      <w:r>
        <w:rPr>
          <w:i/>
          <w:iCs/>
          <w:color w:val="666666"/>
        </w:rPr>
        <w:t xml:space="preserve">ENTREGA DO EQUIVALENTE EM DINHEIRO</w:t>
      </w:r>
    </w:p>
    <w:p/>
    <w:p>
      <w:r>
        <w:rPr>
          <w:b/>
          <w:bCs/>
        </w:rPr>
        <w:t xml:space="preserve">Recurso: </w:t>
      </w:r>
      <w:r>
        <w:t xml:space="preserve">REsp 260.470/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ARGUIÇÃO DE PRESCRIÇÃO — IMPOSSIBILIDADE - MATÉRIA DE DEFESA QUE SÓ PODE SER ALEGADA EM EMBARGOS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Devidamente configurado o dissídio jurisprudencial, pois atendido o disposto no artigo 255 do Regimento Interno desta Corte, passo ao exame do especial. - A questão fulcral a ser solucionada neste recurso diz respeito à prescrição, como matéria de defesa. - Segundo a disciplina estabelecida no artigo 162 do CCB, a prescrição pode ser alegada, em qualquer instância, pela parte a quem aproveita. - Contudo, o parágrafo 3º do artigo 16 da Lei de Execução Fiscal limita a matéria de defesa na execução, para proclamar que as exceções devem ser argüidas em embargos. - Doutrinariamente, tem-se entendido que, embora a sistemática processual só contemple a via de embargos para oferecimento da defesa, comporta a regra exceções para permitir, sem embargos e sem penhora, alegar-se na execução: a) matérias de ordem pública, que podem ser conhecidas de ofício pelo juiz, tais como pressupostos processuais, condições de ação, e outros, chamando-se tais defesas de objeção de pré-executividade; b) matérias argüidas pela parte, e que dispensam dilação probatória para serem examinadas e compreendidas, tais como: pagamento, decadência, retenção por benfeitorias, e outros. - O certo é que a exceção de pré-executividade atende ao interesse público quanto à economia processual, desde que dispense dilação probatória. - A jurisprudência do STJ apresenta-se divergente, na medida em que se tra te de execução de título extrajudicial regida pelo CPC, ou de execução fiscal regida pela LEF, Lei 6.630/80, que traz previsão especifica no seu artigo 16. - Assim, temos arestos em favor da alegação da prescrição sem a oposição de embargos: "CIVIL E PROCESSUAL - EXECUÇÃO POR TÍTULO EXTRAJUDICIAL - SEGURO - COBERTURA - EMBARGOS - ALEGAÇÃO POSTERIOR DE PRESCRIÇÃO - POSSIBILIDADE - CC, ARTIGO 162 - PRESCRIÇÃO PARCIAL. - É possível alegar-se a prescrição em execução por título extrajudicial mesmo após o oferecimento de embargos que silenciam sobre o tema, aventado, contudo, ainda antes de proferida a sentença de 1º grau. Prescrição incidente a lesão decorrente de acidente ocorrido em 1988, em face da natureza da lesão (amputação parcial de membro), cuja natureza evidenciava, por si só, o pleno conhecimento do segurado acerca da imediata incapacitação da sua capacidade laboral. Situação diversa no tocante a disacusia, eis que a documentação pretérita ao ajuizamento da ação, a par de não deixar induvidosa a ciência quanto a incapacidade, por não se conhecer o resultado da ação previdenciária antes movida pelo autor e os fatos subseqüentes, também foi rejeitada pela executada, que requereu a realização de perícia médica, no curso da presente demanda, para fins de constatação da lesão. Recurso conhecido em parte e parcialmente provido." (REsp 260.470/SP, relator Ministro Aldir Passarinho Júnior, 4ª Turma, por maioria, DJ 30/04/2001) "DIREITOS CIVIL E PROCESSUAL CIVIL. PRESCRIÇÃO. ESPÉCIE EXTINTIVA. ALEGAÇÃO.APELAÇÃO. POSSIBILIDADE. ARTIGO 162, CC. SILÊNCIO EM CONTESTAÇÃO. IRRELEVÂNCIA.PRECEDENTES. RECURSO ESPECIAL. ENUNCIADO 7 DA SÚMULA/STJ. RECURSO DESACOLHIDO. I - A prescrição extintiva pode ser alegada em qualquer fase do processo, nas instâncias ordinárias, mesmo que não tenha sido deduzida na fase própria de defesa ou na inicial dos embargos à execução. II - A pretensão recursal, que depende do reex ame de documentos apresentados nas instâncias ordinárias, não comporta análise nesta Corte, a teor do enunciado 7 de sua súmula (REsp 157.840/SP, relator Ministro Sálvio de Figueiredo Teixeira, 4ª Turma, unânime, DJ de 07/08/2000). - E mesmo no trato de execução regida pelo CPC, há posição mais ortodoxa, não admitindo a defesa fora dos embargos. Neste sentido, decidiu a 3ª Turma, por maioria, ficando vencido o Ministro Waldemar Zveiter: "PROCESSO DE EXECUÇÃO (COBRANÇA DE CRÉDITO FUNDADO EM TÍTULO EXECUTIVO EXTRAJUDICIAL). PRESCRIÇÃO. MOMENTO PARA SER ALEGADO. A falta de embargos do devedor, não é dado ao juiz apreciar a argüição de prescrição. Não se adapta ao disposto nos artigos 267, parágrafo 3º e 618, do CPC. O que pode o juiz conhecer é até de ofício, é de matéria que diz respeito à existência do título executivo, CC, artigos 162 e 166, e CPC, artigos 736, 737, 739-ll, 741-VI E 745. Recurso especial conhecido e provido." (REsp 61.606/MG, relator Ministro Nilson Naves, 3ª Turma, por maioria. DJ de 22/04/97). - Contudo, em se tratando de execução fiscal, é uníssono o entendimento de que só por embargos é possível argüir a prescrição por força do que dispõe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Doutrinariamente, entende-se que só por embargos é possível defender-se o executado, admitindo-se, entretanto, a exceção de pré-executividade. - Consiste a pré-executividade na possibilidade de, sem embargos ou penhora, argüir-se na execução, por mera petição, as matérias de ordem pública ou as nulidades absolutas. - A tolerância doutrinária, em se tratando de execução fiscal, esbarra em norma específica que proíbe a pré-executividade (artigo 16, parágrafo 3º, da LEF).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2026-06-17T16:52:35.657Z</dcterms:created>
  <dcterms:modified xsi:type="dcterms:W3CDTF">2026-06-17T16:52:35.657Z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