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TRIBUNAL DE JUSTIÇA</w:t>
      </w:r>
    </w:p>
    <w:p/>
    <w:p/>
    <w:p>
      <w:r>
        <w:t xml:space="preserve">PRAZO — CARGA DOS AUTOS - JUSTA CAUSA - ART. 183/CPC - CONCLUSÃO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AUTOS nº .../... ...., já qualificado nos autos em epígrafe, de exceção de incompetência, em que litiga com ...., vem respeitosamente perante V. Exa., através de sua advogada adiante assinada, expor e requerer o que se segue: 1. A excipiente recebeu no dia .... de .... de .... publicação da sentença proferida nos autos acima mencionados, sendo que a partir desta data começou a fluir seu prazo para interposição de recurso. Contudo, a ora requerente, na tentativa de ter vista dos autos, constatou, conforme comprova a anexa certidão, que os mesmos encontravam-se fora de cartório, em carga com a procuradora do excepto no período de .... de .... a .... de .... de ...., e nesta mesma data foram remetidos à conclusão. Por essas razões, a excipiente não teve condições de verificar a íntegra da sentença e fazer a análise dos autos para cumprir o prazo processual, que lhe cabia por direito. 2. Ante o exposto, requer-se, com fulcro no artigo 183 do CPC, a devolução do prazo para apresentação de recurso, com a conseqüente publicação da intimação, em nome da procuradora infra-assinada. Nestes Termos Pede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2026-09-11T01:35:35.905Z</dcterms:created>
  <dcterms:modified xsi:type="dcterms:W3CDTF">2026-09-11T01:35:35.905Z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