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SÍNDICO DE CONDOMÍNIO</w:t>
      </w:r>
    </w:p>
    <w:p/>
    <w:p>
      <w:r>
        <w:rPr>
          <w:b/>
          <w:bCs/>
        </w:rPr>
        <w:t xml:space="preserve">Recurso: </w:t>
      </w:r>
      <w:r>
        <w:t xml:space="preserve">Apelação Cível 2.934</w:t>
      </w:r>
    </w:p>
    <w:p/>
    <w:p>
      <w:r>
        <w:t xml:space="preserve">INTELIGÊNCIA DESSA CLÁUSULA DA CONVENÇÃO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tal propósito, a Egrégia 8ª Câmara Cível do Colendo Tribunal de Justiça deste Estado, em acórdão da lavra do eminente Desembargador FERNANDO CELSO GUIMARÃES julgando a Apelação Cível nº 2.934, em questão análoga, assentou que "Não constitui violação da lei a presença de animais de pequeno porte na unidade condominial". Este mesmo Grupo, nos julgamentos dos Embargos Infringentes na Apelação Cível nº 78.368, sendo relator o douto Juiz CELSO GUEDES, entendeu que "Não constitui excentricidade a companhia de animal doméstico, pelo contrário, quando mais apurado o grau de civilização de um povo, mais se acentua o apreço pelos animais. As limitações a que pode estar sujeito o uso da unidade de um prédio de apartamentos são ditadas pelo interesse quanto ao sossego, à salubridade e à segurança" arrematando "A norma, seja jurídica ou regulamentar, tem que ser interpretada inteligentemente, em consonância com sua finalidade e não de forma arbitrária". - Não se discute que a vontade dos comunheiros, expressa na Convenção Condominial, tem força de lei, nas relações "interna corporis" da comunidade. Mas a aplicação das normas convencionais tem que se adequar aos princípios fundamentais da ordem jurídica, tais como o que assegura ao "dominus" o uso, gozo e disposição da coisa Cód. Civil, art. 524 - e o que garante os direitos da vizinhança contra o mau uso da propriedade o art. 554 do mesmo "Codex". - Dá-se provimento aos presentes embargos, para restabelecer a bem lançada sentença de 1º grau. Ac. de 26-04-1988 Arquivo do EMFOR - TA/1017 EMFOR 492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presença de animal de pequeno porte na unidade autônoma não caracteriza violação da lei interna, que há de ser interpretada em consonância com a regra do art. 524 do Código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2026-09-11T00:27:25.414Z</dcterms:created>
  <dcterms:modified xsi:type="dcterms:W3CDTF">2026-09-11T00:27:25.414Z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