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/>
    <w:p>
      <w:r>
        <w:t xml:space="preserve">SUSTAÇÃO DE PROTESTO — VALOR DA CAUSA - CONTRATO DE CÂMBIO - ELEIÇÃO DE FORO - EXPORTAÇÃO - NÃO APRESENTAÇÃO DE DOCUMENTO PROBATÓRIO - INCOMPETÊNCIA DO CARTÓRIO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DESTA CAPITAL ...., pessoa jurídica de direito privado, com sede na Rua .... nº ...., em ...., inscrita perante o CGC/MF sob nº ...., representada por seu diretor, através de seus advogados, comparece respeitosamente perante V. Exa., para requer a citação do Banco ...., pessoa jurídica de direito privado, com agência em ...., na Rua .... nº ...., inscrita perante o CGC/MF sob nº ...., para que responda aos termos da presente AÇÃO ORDINÁRIA, exercitada pelos fundamentos e para os fins adiante expostos. I - O LITÍGIO A Autora propôs, no mês de .... do corrente, Medida Cautelar de Sustação de Protesto em face do Réu. A ação foi distribuída a esse douto Juízo de Direito da .... Vara Cível de ...., onde foi autuada sob nº .... Foi concedida a liminar e realizada caução para a garantia do Juízo. Agora e respeitando o prazo legal (CPC, art. 806), a Autora vem propor a ação principal, destinada a obter provimento sobre a invalidade do protesto tirado na Cidade de .... e para apurar que o montante exigido pelo réu não se relaciona com o débito real, assim como a ilegalidade da exigência do pagamento na moeda pela qual o protesto foi realizado. Embora os dados fundamentais do litígio já tenham constado na inicial da cautelar, a Autora reitera os termos daquela. 2. A Autora, no exercício de sua atividade empresarial, realizou contrato de câmbio com o Banco Réu. O contrato de câmbio, motivado por exportação, recebeu o nº ...., tendo sido firmado na Cidade de ...., em data de .... de .... de .... Através do referido contrato, a Autora negociava com o Réu a quantidade de U$ .... (....). 3. Originariamente, previra-se que a Autora obteria os dólares americanos como produto de exportação de mercadorias. O câmbio deveria ser liquidado em 37 dias, com entrega dos documentos probatórios da exportação dentro de 30 dias. 3.1. Houve inúmeros contratempos que conduziram à dilação do praz o de entrega dos documentos e da realização da exportação. 3.2. Em .... de .... de ...., verifica-se instrumentos aditivos, alterando os termos do documento original. 3.3. Em .... de .... de ...., as partes alteraram o instrumento original no tocante a exportações que montavam a U$ .... 3.4. Em .... de .... de ...., houve nova alteração válida para o montante remanescente, que atinge a U$ .... Previu-se que os documentos referentes à exportação deveriam ser entregues até .... de .... de ...., com pagamento até .... de .... Inexistiu, porém, a entrega dos documentos em .... de .... 3.5. Em .... de .... de ...., as partes pactuaram alteração quanto a U$ ...., que foram abatidos do remanescente. 3.6. Restavam, assim, exportações no montante de U$ ...., sem apresentação dos documentos probatórios. Isso porque haviam sido pactuadas exportações que atingiam a U$ .... Desse total, foram comprovadas exportações de U$ .... e U$ .... 3.7. Em .... de .... de ...., o Réu remeteu correspondência à Autora, dando conta de existir saldo a embarcar do contrato nº ...., que montava àquela importância acima indicada. Pretendia compor a questão através de negociação que abrangesse hipoteca, etc. 3.8. Porém, em .... de .... de ...., a Autora recebeu correspondência do .... Ofício de Protestos de Títulos de ...., notificando-a de que o Réu remetera a protesto o contrato de câmbio nº ...., pretendendo o recebimento da importância de R$ .... 3.9. A Autora discorda das pretensões externadas pelo Réu. O Réu está, com o devido respeito, tentando exigir mais do que lhe seria dado. II - INCOMPETÊNCIA DO CARTÓRIO DE PROTESTOS 4. Primeiramente, o protesto é viciado, por ausência de competência dos Cartórios de Protesto da Comarca de .... O negócio foi pactuado em ...., onde tem domicílio a ora Autora. Tal consta dos instrumentos de contrato (original e aditivos). "Data venia", o protesto jamais poderia ter sido realizado nesta Comarca. As partes elegeram livremente o foro de .... 4.1. A norma geral para o foro de pagamento está estabelecida no art. 327 do Código Civil. No presente caso, não há convenção em outro sentido. Ao contrário, as partes contrataram no domicílio da Autora - lá deveria ser realizado o pagamento. 5. Assim, não compete ao Cartório de .... promover o protesto do contrato de câmbio. III - MONTANTE DA DÍVIDA 6. Nos termos da correspondência remetida pelo Cartório, o Banco Réu pretende ser satisfeito pela importância de R$ ...., pela dívida vendida em .... de .... de .... Ora, o Réu não promoveu qualquer tipo de medida 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2026-10-26T04:57:22.865Z</dcterms:created>
  <dcterms:modified xsi:type="dcterms:W3CDTF">2026-10-26T04:57:22.865Z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