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DENUNCIAÇÃO DA LIDE</w:t>
      </w:r>
    </w:p>
    <w:p>
      <w:r>
        <w:rPr>
          <w:i/>
          <w:iCs/>
          <w:color w:val="666666"/>
        </w:rPr>
        <w:t xml:space="preserve">ADQUIRENTE CONTRA O FALSUS DOMINUS</w:t>
      </w:r>
    </w:p>
    <w:p/>
    <w:p/>
    <w:p>
      <w:r>
        <w:t xml:space="preserve">SUSTAÇÃO DE PROTESTO — VALOR DA CAUSA - CONTRATO DE CÂMBIO - ELEIÇÃO DE FORO - EXPORTAÇÃO - NÃO APRESENTAÇÃO DE DOCUMENTO PROBATÓRIO - INCOMPETÊNCIA DO CARTÓRIO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CÍVEL DESTA CAPITAL ...., pessoa jurídica de direito privado, com sede na Rua .... nº ...., em ...., inscrita perante o CGC/MF sob nº ...., representada por seu diretor, através de seus advogados, comparece respeitosamente perante V. Exa., para requer a citação do Banco ...., pessoa jurídica de direito privado, com agência em ...., na Rua .... nº ...., inscrita perante o CGC/MF sob nº ...., para que responda aos termos da presente AÇÃO ORDINÁRIA, exercitada pelos fundamentos e para os fins adiante expostos. I - O LITÍGIO A Autora propôs, no mês de .... do corrente, Medida Cautelar de Sustação de Protesto em face do Réu. A ação foi distribuída a esse douto Juízo de Direito da .... Vara Cível de ...., onde foi autuada sob nº .... Foi concedida a liminar e realizada caução para a garantia do Juízo. Agora e respeitando o prazo legal (CPC, art. 806), a Autora vem propor a ação principal, destinada a obter provimento sobre a invalidade do protesto tirado na Cidade de .... e para apurar que o montante exigido pelo réu não se relaciona com o débito real, assim como a ilegalidade da exigência do pagamento na moeda pela qual o protesto foi realizado. Embora os dados fundamentais do litígio já tenham constado na inicial da cautelar, a Autora reitera os termos daquela. 2. A Autora, no exercício de sua atividade empresarial, realizou contrato de câmbio com o Banco Réu. O contrato de câmbio, motivado por exportação, recebeu o nº ...., tendo sido firmado na Cidade de ...., em data de .... de .... de .... Através do referido contrato, a Autora negociava com o Réu a quantidade de U$ .... (....). 3. Originariamente, previra-se que a Autora obteria os dólares americanos como produto de exportação de mercadorias. O câmbio deveria ser liquidado em 37 dias, com entrega dos documentos probatórios da exportação dentro de 30 dias. 3.1. Houve inúmeros contratempos que conduziram à dilação do praz o de entrega dos documentos e da realização da exportação. 3.2. Em .... de .... de ...., verifica-se instrumentos aditivos, alterando os termos do documento original. 3.3. Em .... de .... de ...., as partes alteraram o instrumento original no tocante a exportações que montavam a U$ .... 3.4. Em .... de .... de ...., houve nova alteração válida para o montante remanescente, que atinge a U$ .... Previu-se que os documentos referentes à exportação deveriam ser entregues até .... de .... de ...., com pagamento até .... de .... Inexistiu, porém, a entrega dos documentos em .... de .... 3.5. Em .... de .... de ...., as partes pactuaram alteração quanto a U$ ...., que foram abatidos do remanescente. 3.6. Restavam, assim, exportações no montante de U$ ...., sem apresentação dos documentos probatórios. Isso porque haviam sido pactuadas exportações que atingiam a U$ .... Desse total, foram comprovadas exportações de U$ .... e U$ .... 3.7. Em .... de .... de ...., o Réu remeteu correspondência à Autora, dando conta de existir saldo a embarcar do contrato nº ...., que montava àquela importância acima indicada. Pretendia compor a questão através de negociação que abrangesse hipoteca, etc. 3.8. Porém, em .... de .... de ...., a Autora recebeu correspondência do .... Ofício de Protestos de Títulos de ...., notificando-a de que o Réu remetera a protesto o contrato de câmbio nº ...., pretendendo o recebimento da importância de R$ .... 3.9. A Autora discorda das pretensões externadas pelo Réu. O Réu está, com o devido respeito, tentando exigir mais do que lhe seria dado. II - INCOMPETÊNCIA DO CARTÓRIO DE PROTESTOS 4. Primeiramente, o protesto é viciado, por ausência de competência dos Cartórios de Protesto da Comarca de .... O negócio foi pactuado em ...., onde tem domicílio a ora Autora. Tal consta dos instrumentos de contrato (original e aditivos). "Data venia", o protesto jamais poderia ter sido realizado nesta Comarca. As partes elegeram livremente o foro de .... 4.1. A norma geral para o foro de pagamento está estabelecida no art. 327 do Código Civil. No presente caso, não há convenção em outro sentido. Ao contrário, as partes contrataram no domicílio da Autora - lá deveria ser realizado o pagamento. 5. Assim, não compete ao Cartório de .... promover o protesto do contrato de câmbio. III - MONTANTE DA DÍVIDA 6. Nos termos da correspondência remetida pelo Cartório, o Banco Réu pretende ser satisfeito pela importância de R$ ...., pela dívida vendida em .... de .... de .... Ora, o Réu não promoveu qualquer tipo de medida qu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2026-09-10T22:10:23.947Z</dcterms:created>
  <dcterms:modified xsi:type="dcterms:W3CDTF">2026-09-10T22:10:23.947Z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