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MERCANTIL</w:t>
      </w:r>
    </w:p>
    <w:p>
      <w:r>
        <w:rPr>
          <w:i/>
          <w:iCs/>
          <w:color w:val="666666"/>
        </w:rPr>
        <w:t xml:space="preserve">MEDIDA CAUTELAR INOMINADA</w:t>
      </w:r>
    </w:p>
    <w:p/>
    <w:p>
      <w:r>
        <w:rPr>
          <w:b/>
          <w:bCs/>
        </w:rPr>
        <w:t xml:space="preserve">Recurso: </w:t>
      </w:r>
      <w:r>
        <w:t xml:space="preserve">APELAÇÃO CÍVEL ....</w:t>
      </w:r>
    </w:p>
    <w:p/>
    <w:p>
      <w:r>
        <w:t xml:space="preserve">CERCEAMENTO DE DEFESA — JULGAMENTO ANTECIPADO - VIOLAÇÃO DE LEI - DIVERGÊNCIA JURISPRUDENCIAL - ART. 332/CPC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EGRÉGIO TRIBUNAL DE ALÇADA DO ESTADO .... RECURSO ESPECIAL (APELAÇÃO CÍVEL Nº ....) ...., já qualificado nos autos de apelação cível em epígrafe, em que é apelado ...., vem em tempo hábil, (acórdão nº .... de Embargos de Declaração, publicado no DJ.... em ....), interpor. RECURSO ESPECIAL Com apoio no permissivo constitucional das alíneas "a" e "c" do artigo 105, III, da CF/88, contra o v. Acórdão, prolatado pela Colenda .... Câmera Cível deste E. Tribunal, na apelação cível nº ...., que negou vigência ao seguinte artigo de Lei Federal: art. - 332 do Código de Processo Civil, bem como o interpretou antagonicamente, vulnerando com isso a unidade e uniformização do direito federal, ocorrendo, destarte, divergência jurisprudencial. Recorre na forma das razões anexas, que ficam fazendo parte integrante e inseparável da petição recursal, que demonstram o cabimento do seu apelo extremo. Requer que, decorrido o prazo para contra-razões e exercido, primeiro, o juízo de admissibilidade, seja o presente recurso especial deferido, por estarem presentes todos os pressupostos - condições de cabimento e admissibilidade, estando o tema central do recurso - NEGATIVA DE VIGÊNCIA DE LEI FEDERAL e DIVERGÊNCIA JURISPRUDENCIAL - devidamente demonstrando, além de tratar de tese jurídica relevante. P . Deferimento ...., .... de .... de .... .................. Advogado RAZÕES DE RECURSO ESPECIAL 1. Trata-se de contrato de mútuo, através do qual o ora recorrido, tendo conhecimento da real e urgente necessidade da recorrente em captar recursos para dar continuidade ao seu trabalho que perdura já faz meio século, utilizou-se de má-fé e deslealdade, embutindo no contrato consensual, cláusulas vexatórias, abusivas e repugnantes. 2. Não estando em desconforme com a realidade pela qual passava o restante do país, entrou a recorrente em sérias dificuldades financeiras, fruto, é claro, da ganância de pessoas, como o recorrido, que vivem do jogo do sistema financeiro. Não contribuindo em nada para o progresso do país, pelo contrário, especulando, usurpando, manobrando fraudulentamente com a fraqueza alheia . 3. Face ao leonismo de contratos como estes, tornou-se inevitável o descumprimento de determinadas obrigações por parte da recorrente, não tendo maior sorte, o agiota - apelado, posto isto, executou os títulos representativos de sua violência, quais sejam, duas notas promissórias. 3.1. Não se discute a existência do princípio da autonomia da vontade nem tão pouco da obrigatoriedade da convenção, mas há que se observar a supremacia da ordem pública, que visa a justiça e a igualdade entre os contratantes, tentando evitar, desse modo, abusos no relacionamento privado. 3.2. Os elementos do contrato deverão basear-se na justiça e na recíproca lealdade, e os valores econômicos estarão subordinados aos de ordem humana social . É o que preleciona a mais autorizada doutrina, lastreada por Carlos Alberto Bittar, senão vejamos: "Acha-se a noção de busca de justiça social, evitando-se a prática de abusos no relacionamento privado, na defesa dos economicamente mais fracos e de interesses outros da coletividade ..." (Direito dos contratos e dos atos unilaterais, in O Direito dos Contratos e seus Princípios fundamentais., Fernando Noronha, 1994, pág. 46.) 4. Não obstante o exposto, o D.D. Juiz monocrático, maravilhado, talvez pelo poder de decisão e a sua conseqüente imperatividade e esquecendo-se, por algum instante, da indispensabilidade de obediência à lei, violou flagrantemente o direito. 5. Enclausurado em cubículos formais de procedimento, sem liberdade de movimento e num total clima de ilegalidade, acolheu, referido magistrado, a agiotagem e, por conseguinte, o agiota e sua generalizada desobediência à lei. 6. Não foi capaz de romper velhos hábitos, já ultrapassados, mantendo a sua estática mentalidade, própria do imobilismo do j uiz espectador, tudo em defesa de uma abstração repressiva e arbitrária. 7. Buscando justiça apresentou tempestivamente a ora Recorrente embargos à execução, alegando o que fora, resumidamente, exposto acima, protestando, ademais, pela produção de inúmeras provas . 7.1. As questões abordadas nos embargos foram expostas com pedido expresso de produção de provas (depoimentos testemunhais e pessoais das partes, requisição de extratos, borderôs, perícia contábil e demais documentos de empréstimo da embargante, etc. ...). 7.2. Tratava-se, pois, de questões de direito e de fato, cuja instrução probatór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2026-10-26T06:07:38.879Z</dcterms:created>
  <dcterms:modified xsi:type="dcterms:W3CDTF">2026-10-26T06:07:38.879Z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