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Apelação 86.723</w:t>
      </w:r>
    </w:p>
    <w:p/>
    <w:p>
      <w:r>
        <w:t xml:space="preserve">DESTITUIÇÃO DO CARGO — INEXISTÊNCIA DE CONVENÇÃO - VOTOS EXIGÍVEIS EM ASSEMBLÉIA GERAL EXTRAORDINÁRIA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Meritoriamente também não assiste razão aos apelantes. A assembléia geral que destituiu o autor do cargo de síndico é nula de pleno direito, por inobservância das formalidades legais. Com efeito, não foi reunido o quorum de 2/3 dos condôminos presentes, necessário para que se desse a destituição de síndico, já que inexiste convenção do condomínio. Tal é a orientação deste Tribunal, a exemplo do que se julga na Apelação 86.723, da 4ª Câmara em 20-5-83, de que foi relator o então Juiz HUMBERTO MANES. Ac. de 17-03-1988 Arquivo do EMFOR - TA/1.098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convenção de condomínio, a destituição do síndico, em assembléia geral extraordinária, exige o voto de dois terços dos condôminos presentes.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2026-07-27T22:44:37.395Z</dcterms:created>
  <dcterms:modified xsi:type="dcterms:W3CDTF">2026-07-27T22:44:37.395Z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