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86.723</w:t>
      </w:r>
    </w:p>
    <w:p/>
    <w:p>
      <w:r>
        <w:t xml:space="preserve">DESTITUIÇÃO DO CARGO — INEXISTÊNCIA DE CONVENÇÃO - VOTOS EXIGÍVEIS EM ASSEMBLÉIA GERAL EXTRAORDINÁRIA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 também não assiste razão aos apelantes. A assembléia geral que destituiu o autor do cargo de síndico é nula de pleno direito, por inobservância das formalidades legais. Com efeito, não foi reunido o quorum de 2/3 dos condôminos presentes, necessário para que se desse a destituição de síndico, já que inexiste convenção do condomínio. Tal é a orientação deste Tribunal, a exemplo do que se julga na Apelação 86.723, da 4ª Câmara em 20-5-83, de que foi relator o então Juiz HUMBERTO MANES. Ac. de 17-03-1988 Arquivo do EMFOR - TA/1.098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convenção de condomínio, a destituição do síndico, em assembléia geral extraordinária, exige o voto de dois terços dos condôminos presentes.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2026-10-26T01:57:42.386Z</dcterms:created>
  <dcterms:modified xsi:type="dcterms:W3CDTF">2026-10-26T01:57:42.386Z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