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SÍNDICO DE CONDOMÍNIO</w:t>
      </w:r>
    </w:p>
    <w:p/>
    <w:p>
      <w:r>
        <w:rPr>
          <w:b/>
          <w:bCs/>
        </w:rPr>
        <w:t xml:space="preserve">Recurso: </w:t>
      </w:r>
      <w:r>
        <w:t xml:space="preserve">Apelação 221.340</w:t>
      </w:r>
    </w:p>
    <w:p>
      <w:r>
        <w:rPr>
          <w:b/>
          <w:bCs/>
        </w:rPr>
        <w:t xml:space="preserve">Relator: </w:t>
      </w:r>
      <w:r>
        <w:t xml:space="preserve">MARZAGÃO BARBUTO</w:t>
      </w:r>
    </w:p>
    <w:p/>
    <w:p>
      <w:r>
        <w:t xml:space="preserve">SUA LEGITIMIDADE PARA REPRESENTAR 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Pessoa que recebeu a ciência em nome do condomínio devedor era gerente do mesmo. No conceito de administração, gerente e administrador são sinônimos perfeitos, quer dizer, exercem as mesmas funções e têm as mesmas atribuições. O art. 12 inciso IX, do CPC não deixa dúvidas de que o administrador, tanto quanto o síndico representa o condomínio em juízo. Ac. de 18-09-1985 Arquivo do EMFOR, TA/889 NO MESMO SENTIDO: Apelação nº 221.340, Tr. Alçada de S. Paulo - 6ª C., Relator: MARZAGÃO BARBUTO, AC. DE 26-7-1975, in ''EMENTÁRIO FORENSE", Nº 389.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687 do CPC., e seus parágrafos, foi modificado pela Lei nº 6.851, de 17 de novembro de 1980. O art. 12 do CPC é expresso no sentido de que, tanto quanto o síndico, o administrador responde em Juízo pela representação do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2026-10-26T01:57:47.685Z</dcterms:created>
  <dcterms:modified xsi:type="dcterms:W3CDTF">2026-10-26T01:57:47.685Z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