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TAXA DE RENV DA MARINHA MERCANTE</w:t>
      </w:r>
    </w:p>
    <w:p>
      <w:r>
        <w:rPr>
          <w:i/>
          <w:iCs/>
          <w:color w:val="666666"/>
        </w:rPr>
        <w:t xml:space="preserve">LEI 10.893 DE 13-07-2004</w:t>
      </w:r>
    </w:p>
    <w:p/>
    <w:p/>
    <w:p>
      <w:r>
        <w:t xml:space="preserve">01. ADICIONAL AO FRETE PARA RENOVAÇÃO DA MARINHA MERCANTE — AFRMM E FUNDO DA MARINHA MERCANTE - FMM - DISPÕE SOBRE</w:t>
      </w:r>
    </w:p>
    <w:p/>
    <w:p>
      <w:pPr>
        <w:pStyle w:val="Heading2"/>
      </w:pPr>
      <w:r>
        <w:rPr>
          <w:b/>
          <w:bCs/>
        </w:rPr>
        <w:t xml:space="preserve">Ementa</w:t>
      </w:r>
    </w:p>
    <w:p>
      <w:r>
        <w:t xml:space="preserve">LEI Nº 10.893, DE 13 DE JULHO DE 2004 Dispõe sobre o Adicional ao Frete para a Renovação da Marinha Mercante - AFRMM e o Fundo da Marinha Mercante - FMM, e dá outras providências. O PRESIDENTE DA REPÚBLICA Faço saber que o Congresso Nacional decreta e eu sanciono a seguinte Lei: Art. 1º Esta Lei estabelece normas sobre o Adicional ao Frete para a Renovação da Marinha Mercante - AFRMM e o Fundo da Marinha Mercante - FMM. Art. 2º Para os efeitos desta Lei: I - porto é o atracadouro, o terminal, o fundeadouro ou qualquer outro local que possibilite o carregamento e o descarregamento de carga; II - navegação de longo curso é aquela realizada entre portos brasileiros e portos estrangeiros, sejam marítimos, fluviais ou lacustres; III - navegação de cabotagem é aquela realizada entre portos brasileiros, utilizando exclusivamente a via marítima ou a via marítima e as interiores; IV - navegação fluvial e lacustre é aquela realizada entre portos brasileiros, utilizando exclusivamente as vias interiores; V - granel é a mercadoria embarcada, sem embalagem ou acondicionamento de qualquer espécie, diretamente nos compartimentos da embarcação ou em caminhões-tanque sobre a embarcação; VI - empresa brasileira de navegação é a pessoa jurídica constituída segundo as leis brasileiras, com sede no País, que tenha por objeto o transporte aquaviário, autorizada a operar pelo órgão competente; VII - estaleiro brasileiro é a pessoa jurídica constituída segundo as leis brasileiras, com sede no País, que tenha por objeto a indústria de construção e reparo navais; e VIII - jumborização é o aumento de uma embarcação. Parágrafo único. Considera-se também como empresa brasileira de navegação o órgão ou entidade que integre a administração pública estatal direta ou indireta ou esteja sob controle acionário de qualquer entidade es tatal, autorizada a executar as atividades de transporte aquaviário. Art. 3º O AFRMM, instituído pelo art. 1º do Decreto-Lei nº 2.404, de 23 de dezembro de 1987, destina-se a atender aos encargos da intervenção da União no apoio ao desenvolvimento da marinha mercante e da indústria de construção e reparação naval brasileiras, e constitui fonte básica do FMM. Art. 4º O fato gerador do AFRMM é o início efetivo da operação de descarregamento da embarcação em porto brasileiro. Parágrafo único. O AFRMM não incide sobre a navegação fluvial e lacustre, exceto sobre cargas de granéis líquidos, transportadas no âmbito das regiões Norte e Nordeste. Art. 5º O AFRMM incide sobre o frete, que é a remuneração do transporte aquaviário da carga de qualquer natureza descarregada em porto brasileiro. § 1º Para os fins desta Lei, entende-se por remuneração do transporte aquaviário a remuneração para o transporte da carga porto a porto, incluídas todas as despesas portuárias com a manipulação de carga, constantes do conhecimento de embarque ou da declaração de que trata o § 2º do art. 6º desta Lei, anteriores e posteriores a esse transporte, e outras despesas de qualquer natureza a ele pertinentes. § 2º O somatório dos fretes dos conhecimentos de embarque desmembrados não pode ser menor que o frete do conhecimento de embarque que os originou. Art. 6º O AFRMM será calculado sobre a remuneração do transporte aquaviário, aplicando-se as seguintes alíquotas: I - 25% (vinte e cinco por cento) na navegação de longo curso; II - 10% (dez por cento) na navegação de cabotagem; e III - 40% (quarenta por cento) na navegação fluvial e lacustre, quando do transporte de granéis líquidos nas regiões Norte e Nordeste. § 1º O conhecimento de embarque é o documento hábil para comprovação do valor da remuneração do transporte aquaviário. § 2º Nos casos em que não ho uver a obrigação de emissão do conhecimento de embarque, o valor da remuneração do transporte aquaviário, para fins de cálculo do AFRMM, será apurado por declaração do contribuinte. § 3º Sobre as mercadorias destinadas a porto brasileiro que efetuarem transbordo ou baldeação em um ou mais portos nacionais não incidirá novo AFRMM referente ao transporte entre os citados portos, se este já tiver sido calculado desde a sua origem até seu destino final. Art. 7º Os dados imprescindíveis ao controle da arrecadação do AFRMM, oriundos do conhecimento de embarque e da declaração de que trata o § 2º do art. 6º desta Lei, referentes às mercadorias a serem desembarcadas no porto de descarregamento, independentemente do local previsto para a sua nacionalização, inclusive aquelas em trânsito para o exterior, deve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2026-10-26T02:11:07.767Z</dcterms:created>
  <dcterms:modified xsi:type="dcterms:W3CDTF">2026-10-26T02:11:07.767Z</dcterms:modified>
</cp:coreProperties>
</file>

<file path=docProps/custom.xml><?xml version="1.0" encoding="utf-8"?>
<Properties xmlns="http://schemas.openxmlformats.org/officeDocument/2006/custom-properties" xmlns:vt="http://schemas.openxmlformats.org/officeDocument/2006/docPropsVTypes"/>
</file>