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ART. 4º DA LEI 6.766 DE 19-12-1979 — ALTERA</w:t>
      </w:r>
    </w:p>
    <w:p/>
    <w:p>
      <w:pPr>
        <w:pStyle w:val="Heading2"/>
      </w:pPr>
      <w:r>
        <w:rPr>
          <w:b/>
          <w:bCs/>
        </w:rPr>
        <w:t xml:space="preserve">Ementa</w:t>
      </w:r>
    </w:p>
    <w:p>
      <w:r>
        <w:t xml:space="preserve">LEI Nº 10.932, DE 03 DE AGOSTO DE 2004 Altera o art. 4º da Lei nº 6.766, de 19 de dezembro de 1979, que "dispõe sobre o parcelamento do solo urbano e dá outras providências". O PRESIDENTE DA REPÚBLICA Faço saber que o Congresso Nacional decreta e eu sanciono a seguinte Lei: Art. 1º Esta Lei altera o art. 4º da Lei nº 6.766, de 19 de dezembro de 1979, dispondo sobre a reserva de faixa não-edificável referente a dutovias. Art. 2º O inciso III do art. 4º da Lei nº 6.766, de 19 de dezembro de 1979, passa a vigorar com a seguinte redação: "Art. 4º ...................................................................... ................................................................................... III - ao longo das águas correntes e dormentes e das faixas de domínio público das rodovias e ferrovias, será obrigatória a reserva de uma faixa não-edificável de 15 (quinze) metros de cada lado, salvo maiores exigências da legislação específica; ..................................................................................." (NR) Art. 3º O art. 4º da Lei nº 6.766, de 19 de dezembro de 1979, passa a vigorar acrescido do seguinte § 3º: "Art. 4º ...................................................................... ................................................................................... § 3º Se necessária, a reserva de faixa não-edificável vinculada a dutovias será exigida no âmbito do respectivo licenciamento ambiental, observados critérios e parâmetros que garantam a segurança da população e a proteção do meio ambiente, conforme estabelecido nas normas técnicas pertinentes." (NR) Art. 4º Esta Lei entra em vigor na data de sua publicação. Brasília, 3 de agosto de 2004; 183º da Independência e 116º da República. LUIZ INÁCIO LULA DA SILVA Dilma Vana Rousseff Marina Silva Olivio de Oliveira Dutra 01. PATRIMÔNIO DE AFETAÇÃO DE INCORPORAÇÕES IMOBILIÁRIAS, LETRA DE CRÉDITO IMOBILIÁRIO, CÉDULA DE CRÉDITO IMOBILIÁRIO, CÉDULA DE CRÉDITO BANCÁRIO - DL 911 DE 01-10-1969, LEIS 4.591/64, 4.728/65 E 10.406/2002 - ALTERA LEI Nº 10.931, DE 02 DE AGOSTO DE 2004 Dispõe sobre o patrimônio de afetação de incorporações imobiliárias, Letra de Crédito Imobiliário, Cédula de Crédito Imobiliário, Cédula de Crédito Bancário, altera o Decreto-Lei nº 911, de 1º de outubro de 1969, as Leis nº 4.591, de 16 de dezembro de 1964, nº 4.728, de 14 de julho de 1965, e nº 10.406, de 10 de janeiro de 2002, e dá outras providências. O PRESIDENTE DA REPÚBLICA Faço saber que o Congresso Nacional decreta e eu sanciono a seguinte Lei: CAPÍTULO I DO REGIME ESPECIAL TRIBUTÁRIO DO PATRIMÔNIO DE AFETAÇÃO Art. 1º Fica instituído o regime especial de tributação aplicável às incorporações imobiliárias, em caráter opcional e irretratável enquanto perdurarem direitos de crédito ou obrigações do incorporador junto aos adquirentes dos imóveis que compõem a incorporação. Art. 2º A opção pelo regime especial de tributação de que trata o art. 1º será efetivada quando atendidos os seguintes requisitos: I - entrega do termo de opção ao regime especial de tributação na unidade competente da Secretaria da Receita Federal, conforme regulamentação a ser estabelecida; e II - afetação do terreno e das acessões objeto da incorporação imobiliária, conforme disposto nos arts. 31-A a 31-E da Lei nº 4.591, de 16 de dezembro de 1964. Art. 3º O terreno e as acessões objeto da incorporação imobiliária sujeitas ao regime especial de tributação, bem como os demais bens e direitos a ela vinculados, não responderão por dívidas tributárias da incorporadora relativas ao Imposto de Renda das Pessoas Jurídicas - IRPJ, à Contribuição Social sobre o Lucro Líquido - CSLL, à Contribuição para o Financiamento da Seguridade Social - COFINS e à Contribuição para os Programas de Integração Social e de Formação do Patrimônio do Servidor Público - PIS/PASEP, exceto aquelas calculadas na forma do art. 4º sobre as receitas auferidas no âmbito da respectiva incorporação. Parágrafo único. O patrimônio da incorporadora responderá pelas dívidas tributárias da incorporação afetada. Art. 4º Para cada incorporação submetida ao regime especial de tributação, a incorporadora ficará sujeita ao pagamento equivalente a sete por cento da receita mensal recebida, o qual corresponderá ao pagamento mensal unificado dos seguintes impostos e contribuições: I - Imposto de Renda das Pessoas Jurídicas - IRPJ; II - Contribuição para os Programas de Integração Social e de Formação do Patrimônio do Servidor Público - PIS/PASEP;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2026-07-27T23:36:27.004Z</dcterms:created>
  <dcterms:modified xsi:type="dcterms:W3CDTF">2026-07-27T23:36:27.004Z</dcterms:modified>
</cp:coreProperties>
</file>

<file path=docProps/custom.xml><?xml version="1.0" encoding="utf-8"?>
<Properties xmlns="http://schemas.openxmlformats.org/officeDocument/2006/custom-properties" xmlns:vt="http://schemas.openxmlformats.org/officeDocument/2006/docPropsVTypes"/>
</file>