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PRIVADA</w:t>
      </w:r>
    </w:p>
    <w:p>
      <w:r>
        <w:rPr>
          <w:i/>
          <w:iCs/>
          <w:color w:val="666666"/>
        </w:rPr>
        <w:t xml:space="preserve">COMPLEMENTAÇÃO DE APOSENTADORIA</w:t>
      </w:r>
    </w:p>
    <w:p/>
    <w:p>
      <w:r>
        <w:rPr>
          <w:b/>
          <w:bCs/>
        </w:rPr>
        <w:t xml:space="preserve">Recurso: </w:t>
      </w:r>
      <w:r>
        <w:t xml:space="preserve">Agravo de instrumento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CARLOS VELLOSO</w:t>
      </w:r>
    </w:p>
    <w:p/>
    <w:p>
      <w:r>
        <w:t xml:space="preserve">ASSISTÊNCIA JUDICIÁRIA — PESSOA JURÍDICA - HIPOSSUFICIÊNCIA - FALTA DE COMPROVAÇÃO - IMPOSSIBILIDADE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Decisão monocrática. Art. 557, § 1º - A do Código de Processo Civil. Constitucionalidade. Jurisprudência do Supremo Tribunal Federal e do Superior Tribunal de Justiça. Rejeição da Preliminar. Agravo de instrumento. Impugnação à concessão de gratuidade. Impossibilidade de ser conferido à pessoa jurídica o benefício da gratuidade por mera presunção de hipossuficiência. Desprovimento do recurso. Vistos, relatados e discutidos estes autos de Agravo Regimental no Agravo de Instrumento nº 11.690/2002, do Juízo de Direito da 50ª Vara Cível da Comarca da Capital, em que é Agravante Barão de Inoã Piscinas Ltda. e Agravada Mundo Mágico Futebol e Lazer Ltda. Acordam, por unanimidade de votos, os Desembargadores que compõem a Décima Quarta Câmara Cível do Tribunal de Justiça do Estado do Rio de Janeiro, em rejeitar a preliminar e negar provimento ao recurso. Trata-se de agravo interposto contra decisão monocrática do saudoso Desembargador MAURO FONSECA PINTO NOGUEIRA, que, com respaldo no art. 557, § 1º - A do Código de Processo Civil, deu provimento ao agravo de instrumento para cassar a gratuidade de justiça concedida ao ora agravante, sob o argumento de que "a parte beneficiada pela gratuidade é uma pessoa jurídica, não se podendo presumir a hipossuficiência." O agravo de instrumento foi interposto contra decisão (f. 18) em incidente de impugnação ao valor da causa, que decidiu pela concessão da gratuidade de justiça à pessoa jurídica com base na "presunção relativa de necessidade daquele que meramente afirma tal condição." Acrescentando: "Não havendo qualquer prova que venha elidir esta presunção e mesmo, diante de dúvida, mantém-se o benefício da assistência judiciária gratuita que diz respeito a interesse de superlativa relevância, dês que ligado ao direito supraconstitucional de acesso à Justiça." O ora agravante insurge-se contra a decisão monocrática alegando, preliminarmente que houve cerceamento de defesa, sendo a decisão nula, já que desrespeitado o devido processo legal. No mérito, assevera que a decisão implica em afronta ao disposto no art 5º, LXXIV da Constituição Federal, negando-lhe acesso à Justiça. VOTO Rejeito a preliminar. Não há que se falar em cerceamento de defesa diante do disposto no art. 557, § 1º -A do Código de Processo Civil. Tal sistemática, como destacou o Ministro José Delgado, em um de seus julgados (AGRESP 463490/RJ), "pretendeu desafogar as pautas dos tribunais, ao objetivo de que só sejam encaminhados à sessão de julgamento as ações e os recursos que de fato necessitem de decisão colegiada. Os demais - a grande maioria dos processos nos tribunais - devem ser apreciados o quanto e mais rápido possível, em homenagem aos tão perseguidos princípios da economia e da celeridade processual." STJ - 1a Turma, unân., julg. em 03/12/02. Sobre a matéria já se pronunciaram as Cortes Superiores, em inúmeros julgados, dos quais destaco: "Constitucional. Processual Civil. Recurso Extraordinário: Julgamento pelo Relator. CPC, art. 557, § 1º - A. Possibilidade de julgamento imediato de outras causas, em que versado o mesmo tema, pelos relatores ou pelas Turmas." (...) I - Legitimidade constitucional da atribuição conferida ao Relator para arquivar, negar seguimento a pedido ou recurso e a dar provimento a este - RI/STF, art. 21, § 1º; Lei 8.038/90, art. 38; CPC, art. 557, caput, e § 1º A - desde que, mediante recurso, possam as decisões ser submetidas ao controle do Colegiado. Precedentes do STF. (...). (...) A decisão, é de ser mantida, porque apoiada na jurisprudência do Supremo Tribunal Federal. A alegação de que não poderia o relator, mediante despacho, negar seguimento ao recurso, ou mesmo dar-lhe provimento, não tem procedência. A decisão tem assento na norma regimental e na lei -RISTF, art. 21, § 1º; Lei 8.038/90, art. 38; CPC, art. 557, caput, § 1º - A - certo que o Supremo Tribunal, no julgamento do MI 595-AgR/MA, decidiu, p elo seu Plenário, que é legítima, sob o ponto de vista constitucional, a atribuição conferida ao relator para arquivar ou negar seguimento a pedido ou recurso, desde que, mediante recurso, possam as decisões ser submetidas ao controle do Colegiado (D.J. de 23.4.99). No RE 302.839-AgR/GO, por mim relatado, decidiu o Supremo Tribunal Federal: "Ementa: Constitucional. Recurso Extraordinário. Julgamento pelo Relator. CPC, art. 557, § 1º - A. I - Legitimidade constitucional da atribuição conferida ao Relator para arquivar, negar seguimento a pedido ou recurso e a dar provimen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2026-09-10T23:16:22.420Z</dcterms:created>
  <dcterms:modified xsi:type="dcterms:W3CDTF">2026-09-10T23:16:22.420Z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