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INADIMPLÊNCIA DO COMPRADOR</w:t>
      </w:r>
    </w:p>
    <w:p/>
    <w:p/>
    <w:p>
      <w:r>
        <w:t xml:space="preserve">INADIMPLEMENTO DO DEVEDOR — ART. 566/CPC - ART. 585/CPC - NOTA PROMISSÓRIA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inscrito no CPF/MF sob nº ...., residente e domiciliado em ...., na Rua .... nº ...., por sua advogada ao final assinada (docs. nºs ....), vem, respeitosamente, à presença de V. Exa. requer EXECUÇÃO DE TÍTULO EXTRAJUDICIAL contra ...., (qualificação), portador da Cédula de Identidade para Estrangeiros ...., Carteira nº ...., SE/DPMAF de .../.../..., inscrito no CPF/MF sob nº ...., residente e domiciliado nesta Comarca, na Rua .... nº ...., Bairro ...., e o faz pelos seguintes fatos e fundamentos de direito: 1. O requerente é credor do executado pela quantia de R$ .... (....), representada pelo cheque nº...., Banco ...., Ag. .... (doc. nº ....). 2. O cheque, nos termos do disposto no artigo 585, I, do CPC, constitui título executivo extrajudicial, ensejando desde logo a execução. 3. Pelo exposto, requer seja o executado citado, por mandado, para que no prazo de 24 horas, pague a importância de R$ .... (....), acrescida de correção monetária, juros de mora, custas processuais e honorários de advogado, ou ofereça bens à penhora, sob pena de lhe serem penhorados tantos bens quantos bastarem para garantir a execução. O valor do débito atualizado, nesta data é de: Demonstrativo: - Principal corrigido R$ .... - Juros de mora R$ .... Efetuada a penhora, requer a intimação do executado, para querendo, opor embargos, no prazo legal. Não oferecidos os embargos ou rejeitados se oferecidos, requer o prosseguimento do feito até a integral satisfação do seu crédito. Requer ainda, o benefício do art. 172, § 2º do CPC, para os atos de citação e penhora. 4. Dá-se à ação o valor de R$ .... (....).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2026-09-10T22:19:56.676Z</dcterms:created>
  <dcterms:modified xsi:type="dcterms:W3CDTF">2026-09-10T22:19:56.676Z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