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INADIMPLÊNCIA DO COMPRADOR</w:t>
      </w:r>
    </w:p>
    <w:p/>
    <w:p/>
    <w:p>
      <w:r>
        <w:t xml:space="preserve">INADIMPLEMENTO DO DEVEDOR — ART. 566/CPC - ART. 585/CPC - NOTA PROMISSÓRIA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inscrito no CPF/MF sob nº ...., residente e domiciliado em ...., na Rua .... nº ...., por sua advogada ao final assinada (docs. nºs ....), vem, respeitosamente, à presença de V. Exa. requer EXECUÇÃO DE TÍTULO EXTRAJUDICIAL contra ...., (qualificação), portador da Cédula de Identidade para Estrangeiros ...., Carteira nº ...., SE/DPMAF de .../.../..., inscrito no CPF/MF sob nº ...., residente e domiciliado nesta Comarca, na Rua .... nº ...., Bairro ...., e o faz pelos seguintes fatos e fundamentos de direito: 1. O requerente é credor do executado pela quantia de R$ .... (....), representada pelo cheque nº...., Banco ...., Ag. .... (doc. nº ....). 2. O cheque, nos termos do disposto no artigo 585, I, do CPC, constitui título executivo extrajudicial, ensejando desde logo a execução. 3. Pelo exposto, requer seja o executado citado, por mandado, para que no prazo de 24 horas, pague a importância de R$ .... (....), acrescida de correção monetária, juros de mora, custas processuais e honorários de advogado, ou ofereça bens à penhora, sob pena de lhe serem penhorados tantos bens quantos bastarem para garantir a execução. O valor do débito atualizado, nesta data é de: Demonstrativo: - Principal corrigido R$ .... - Juros de mora R$ .... Efetuada a penhora, requer a intimação do executado, para querendo, opor embargos, no prazo legal. Não oferecidos os embargos ou rejeitados se oferecidos, requer o prosseguimento do feito até a integral satisfação do seu crédito. Requer ainda, o benefício do art. 172, § 2º do CPC, para os atos de citação e penhora. 4. Dá-se à ação o valor de R$ .... (....). Nestes Termos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2026-10-26T04:37:28.367Z</dcterms:created>
  <dcterms:modified xsi:type="dcterms:W3CDTF">2026-10-26T04:37:28.367Z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