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DECRETO-LEI 911 DE 01-10-1969</w:t>
      </w:r>
    </w:p>
    <w:p/>
    <w:p>
      <w:r>
        <w:rPr>
          <w:b/>
          <w:bCs/>
        </w:rPr>
        <w:t xml:space="preserve">Recurso: </w:t>
      </w:r>
      <w:r>
        <w:t xml:space="preserve">Recurso Extraordinário 176.100-8</w:t>
      </w:r>
    </w:p>
    <w:p/>
    <w:p>
      <w:r>
        <w:t xml:space="preserve">MÁ-FÉ — COMPRA E VENDA - CARÊNCIA DE 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Processo nº.... Ação Revisional de Contrato ...., estabelecida na Rua .... nº...., inscrita no CGC/MF sob nº...., por seu advogado que esta subscreve (docs. .... e ....), nos autos da AÇÃO REVISIONAL DE CONTRATO que lhe move ...., vem, mui respeitosamente, à presença de V. Ex.a., apresentar sua CONTESTAÇÃO, fundamentando-se nas razões de fato e de direito a seguir articuladas . I - LITIGÂNCIA DE MÁ FÉ A AUTORA é litigante de má-fé, de vez que está fazendo uso do processo Judicial como meio de adiar o pagamento da dívida que sabe ser líquida e certa. Não ofereceu nenhum bem para garantir a dívida, pleiteado o puro e simples não pagamento, embora confesse dever R$ .... conforme item ...., da inicial. O CPC, nos artigos 16 a 18, pune o litigante de má-fé, devendo ser imputado à AUTORA, ao final deste processo, as penalidades cabíveis, que desde já a Ré pleiteia, devendo a indenização ser igual ao valor dos títulos extrajudiciais que a AUTORA deixou de pagar, devidamente atualizados e com juros de mora desde a data do respectivo vencimento, além dos honorários advocatícios e de todas as despesas efetuadas pela AUTORA em relação aos mesmos. A litigância de má-fé da AUTORA em comprovada a seguir, no exame do mérito da questão. II - PRELIMINARMENTE: DESCABIMENTO DE AÇÃO REVISIONAL PARA ANULAR TÍTULO DE CRÉDITO Inicialmente cumpre ressaltar que a AUTORA ingressou com Medida de Sustação de Protesto, processo nº.... informando que dentro do prazo legal, própria a "ação ordinária de nulidade de cambial" A Ré levou a protesto um título extrajudicial por falta de pagamento. A AUTORA está questionando o valor constante no título em questão. Ora, a ação que a AUTORA deveria ter proposto seria a de nulidade de título extrajudicial e não a ação revisional de contrato, que é ação própria para discutir negócios judiciais em geral, e não titular de crédito que s e caracteriza por sua liquidez e certeza. Em decorrência da sustação de protesto, o que deve ser discutido é a validade do título, se é que cabe a discussão, e não o acordo firmado entre as partes. Desta forma, a Ré requer a extinção do processo, sem julgamento do mérito, conforme preceitua o artigo 267, inciso VI do CPC, e demais disposições legais cabíveis, julgando-se o Autor Carecedor de Ação. III - DO MÉRITO Por medida de cautela a Ré contesta o mérito. Cumpre observar, inicialmente, que não existe entre a AUTORA e a Ré nenhum acordo de crédito de fornecimento de mercadorias em consignação. O que houve entre as partes foi uma compra e venda mercantil no valor R$ .... (....). INEXISTEM mercadorias em CONSIGNAÇÃO! Ocorre, porém, que a AUTORA não teve condições de quitar as duplicatas no seu vencimento, razão pela qual o mesmo foi prorrogado de comum acordo pelas partes, como a própria AUTORA reconhece no item 1 da exordial, nos termos do art. 11 da Lei nº 5.474 de 18.07.68 (Lei das Duplicatas). A AUTORA concordou com a prorrogação do título, com acréscimo de encargos financeiros na base da variação da TRD mais 2% ao mês pró-rata-dia, a partir do vencimento do prazo original até o dia do efetivo pagamento. Caso não tivesse concordado, porque assinou o documento de prorrogação do título? Por que não adotou quaisquer medidas judiciais na época? Por que esperou comodamente o protesto? A resposta para estas indagações é simples: não lhe cabia nenhuma razão, e com a tentativa a sustação do protesto, o seu prazo para pagamento tende a ficar mais uma vez prorrogado, trazendo prejuízos à Ré. Além disso, as duplicatas forem caucionadas no Banco ...., com concordância da Autora. Por outro lado, ninguém prorroga dívidas sem cobrar acréscimos. Óbvio que pagar em .../.../... um título vencido há vários meses não pode ser com o mesmo valor. A inflação ocasiona perdas financeiras, que ficam cobertas com os encargos financeiros pactuad os na prorrogação. No mercado de brinquedos é normal a prorrogação de vencimento de duplicatas, pois muitas vezes os brinquedos não são vendidos nas épocas festivas e o cliente pede uma prorrogação do prazo para saldar suas dívidas. Cabe notar, inclusive, que o prazo para pagamento da prorrogação se deu após o dia das Crianças (.../.../...),quando a venda dos brinquedos é maior. Cumpre ressaltar que, além dos encargos financeiros, foi pactuado entre as partes uma multa de 10% (dez por cento) sobre o débito, se não for pago no prazo prorrogado, o qual será cobrado pela Ré posteriormente. Os enc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2026-07-28T04:25:04.566Z</dcterms:created>
  <dcterms:modified xsi:type="dcterms:W3CDTF">2026-07-28T04:25:04.566Z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