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>
      <w:r>
        <w:rPr>
          <w:b/>
          <w:bCs/>
        </w:rPr>
        <w:t xml:space="preserve">Recurso: </w:t>
      </w:r>
      <w:r>
        <w:t xml:space="preserve">MS 12.977</w:t>
      </w:r>
    </w:p>
    <w:p/>
    <w:p>
      <w:r>
        <w:t xml:space="preserve">ATRIBUIÇÕES RELATIVAS — CONSTITUCIONALIDADE DE DISPOSITIVOS LEGAIS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contrariam a Constituição os artigos 3º, 22 e 27 da Lei nº 3.244, de 14.08.57, que definem as atribuições do Conselho de Política Aduaneira quanto à tarifa flexível. Referência: - Const. Fed., artigos 141, § 34, e 36, § 2º. RMS 12.977, de 11.03.64; RMS 12.994, de 11.03.64; RMS 12.995, de 13.05.64; RMS 12.993, de 13.05.64; RMS 12.998, de 13.05.64; RMS 12.992, de 13.05.64. DJ, nº 82, de 8 de maio de 1964 - ADENDO Nº 1 - pág. 1.239 EMENTÁRIO FORENSE. Setembro, 1964. Ano XVI. Nº 191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2026-10-26T03:42:17.877Z</dcterms:created>
  <dcterms:modified xsi:type="dcterms:W3CDTF">2026-10-26T03:42:17.877Z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