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COM ACEITE</w:t>
      </w:r>
    </w:p>
    <w:p/>
    <w:p/>
    <w:p>
      <w:r>
        <w:t xml:space="preserve">DUPLICATA — INADIMPLEMENTO DO DEVEDOR - ART. 580/CPC - ART. 585/CPC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DESTA COMARCA ...., (qualificação), portador da Cédula de Identidade/RG n.º ...., inscrito no CPF/MF sob o n.º ...., residente e domiciliado na Cidade de ...., Estado de ...., na Rua .... n.º ...., por seu procurador infra-assinado, com escritório profissional na Rua ...., na Cidade de ...., Estado do ...., vem à presença de V. Exa. para promover a EXECUÇÃO DE TÍTULO EXTRAJUDICIAL, contra ...., (qualificação), residente e domiciliado na Cidade de ...., Estado do ...., residente e domiciliado na Rua .... n.º ...., em face dos motivos que passa a expor: 1. Dívida representada por título cambial 1. 1 É promovente da presente execução representada por um título cambial, uma duplicata no valor de R$ ...., vencida desde o dia .... (....) de .... do corrente ano e não paga, apesar de todos os esforços do credor, no sentido de receber, amigavelmente, o seu crédito. 1. 2 A duplicata é título executivo extrajudicial (CPC, art. 585, I), líquido, certo, exigível, autorizando a cobrança executiva (CPC, arts. 586 e 587), uma vez que a cambial preenche todos os requisitos da Lei Cambial. 1. 3 Não satisfeita espontaneamente a obrigação de pagar representada pela duplicata, que tem eficácia de título executivo, sendo assim, inadimplente o devedor, cabe ao credor promover a execução (CPC, art. 580). 2. Os requerimentos 2. 1 A citação do devedor já mencionado e qualificado, para que no prazo de 24 (vinte e quatro) horas efetue o pagamento do principal de R$ .... acrescido de juros de mora e correção monetária a partir do vencimento do título, e seja condenado ao pagamento das custas processuais e honorários advocatícios, atendendo o disposto no art. 20 do CPC. 2. 2 Citado o devedor para pagar, com a alternativa de poder nomear bens à penhora (CPC, art. 652), não feita a nomeação ou não aceita esta, requer o credor que se proceda à penhora em tantos bens quantos bastem para garantir a e xecução, como prevê o art. 653 do CPC, e, feita a penhora, intime o oficial de justiça o devedor para no prazo de 10 dias embargar a execução (CPC, art. 669, caput), e, ainda, recaindo a penhora em bens imóveis, seja intimada a mulher do devedor (CPC, art. 669, § 1°). 2.3 Finalmente requer, se não for encontrado o devedor para a citação, que proceda o oficial de justiça o arresto dos seus bens, tantos quantos bastem para garantir a execução (CPC, art. 653, caput), e após a efetivação do arresto, seja dado cumprimento à norma do parágrafo único do referido artigo. 3. Valor da execução Dá-se à execução o valor de R$ ....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2026-07-28T03:57:42.756Z</dcterms:created>
  <dcterms:modified xsi:type="dcterms:W3CDTF">2026-07-28T03:57:42.756Z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