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RESPONSABILIDADE CIVIL</w:t>
      </w:r>
    </w:p>
    <w:p>
      <w:r>
        <w:rPr>
          <w:i/>
          <w:iCs/>
          <w:color w:val="666666"/>
        </w:rPr>
        <w:t xml:space="preserve">DANOS MORAL E MATERIAL</w:t>
      </w:r>
    </w:p>
    <w:p/>
    <w:p/>
    <w:p>
      <w:r>
        <w:t xml:space="preserve">02. ENUNCIADOS AO CÓDIGO CIVIL
      DIREITO DAS OBRIGAÇÕES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DIREITO DAS OBRIGAÇÕES 15 - Art. 240: as disposições do art. 236 do novo Código Civil também são aplicáveis à hipótese do art. 240, in fine. 16 - Art. 299: o art. 299 do Código Civil não exclui a possibilidade da assunção cumulativa da dívida quando dois ou mais devedores se tornam responsáveis pelo débito com a concordância do credor. 17 - Art. 317: a interpretação da expressão "motivos imprevisíveis", constante do art. 317 do novo Código Civil, deve abarcar tanto causas de desproporção não previsíveis como também causas previsíveis, mas de resultados imprevisíveis. 18 - Art. 319: a "quitação regular", referida no art. 319 do novo Código Civil, engloba a quitação dada por meios eletrônicos ou por quaisquer formas de "comunicação à distância", assim entendida aquela que permite ajustar negócios jurídicos e praticar atos jurídicos sem a presença corpórea simultânea das partes ou de seus representantes. 19 - Art. 374: a matéria da compensação, no que concerne às dívidas fiscais e parafiscais de Estados, do Distrito Federal e de Municípios, não é regida pelo art. 374 do Código Civil. 20 - Art. 406: a taxa de juros moratórios a que se refere o art. 406 é a do art. 161, § 1º, do Código Tributário Nacional, ou seja, 1% (um por cento) ao mês. A utilização da taxa SELIC como índice de apuração dos juros legais não é juridicamente segura, porque impede o prévio conhecimento dos juros; não é operacional, porque seu uso será inviável sempre que se calcularem somente juros ou somente correção monetária; é incompatível com a regra do art. 591 do novo Código Civil, que permite apenas a capitalização anual dos juros, e pode ser incompatível com o art. 192, § 3º, da Constituição Federal, se resultarem juros reais superiores a 12% (doze por cento) ao ano. 21 - Art. 421: a função social do contrato, prevista no art. 421 do novo Código Civil, constitui cláusula geral, a impor a revisão do princípio da relatividade dos efeitos d o contrato em relação a terceiros, implicando a tutela externa do crédito. 22 - Art. 421: a função social do contrato, prevista no art. 421 do novo Código Civil, constitui cláusula geral, que reforça o princípio de conservação do contrato, assegurando trocas úteis e justas. 23 - Art. 421: a função social do contrato, prevista no art. 421 do novo Código Civil, não elimina o princípio da autonomia contratual, mas atenua ou reduz o alcance desse princípio quando presentes interesses metaindividuais ou interesse individual relativo à dignidade da pessoa humana. 24 - Art. 422: em virtude do princípio da boa-fé, positivado no art. 422 do novo Código Civil, a violação dos deveres anexos constitui espécie de inadimplemento, independentemente de culpa. 25 - Art. 422: o art. 422 do Código Civil não inviabiliza a aplicação, pelo julgador, do princípio da boa-fé nas fases pré e pós-contratual. 26 - Art. 422: a cláusula geral contida no art. 422 do novo Código Civil impõe ao juiz interpretar e, quando necessário, suprir e corrigir o contrato segundo a boa-fé objetiva, entendida como a exigência de comportamento leal dos contratantes. 27 - Art. 422: na interpretação da cláusula geral da boa-fé, deve-se levar em conta o sistema do Código Civil e as conexões sistemáticas com outros estatutos normativos e fatores metajurídicos. 28 - Art. 445 (§§ 1º e 2º): o disposto no art. 445, §§ 1º e 2º, do Código Civil reflete a consagração da doutrina e da jurisprudência quanto à natureza decadencial das ações edilícias. 29 - Art. 456: a interpretação do art. 456 do novo Código Civil permite ao evicto a denunciação direta de qualquer dos responsáveis pelo vício. 30 - Art. 463: a disposição do parágrafo único do art. 463 do novo Código Civil deve ser interpretada como fator de eficácia perante terceiros. 31 - Art. 475: as perdas e danos mencionadas no art. 475 do novo Código Civil dependem da imputabilidade da causa da pos sível resolução. 32 - Art. 534: no contrato estimatório (art. 534), o consignante transfere ao consignatário, temporariamente, o poder de alienação da coisa consignada com opção de pagamento do preço de estima ou sua restituição ao final do prazo ajustado. 33 - Art. 557: o novo Código Civil estabeleceu um novo sistema para a revogação da doação por ingratidão, pois o rol legal previsto no art. 557 deixou de ser taxativo, admitindo, excepcionalmente, outras hipóteses. 34 - Art. 591: no novo Código Civil, quaisquer contratos de mútuo destinados a fins econômicos presumem-se onerosos (art. 591), ficando a taxa de juros compen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2026-10-26T02:23:31.141Z</dcterms:created>
  <dcterms:modified xsi:type="dcterms:W3CDTF">2026-10-26T02:23:31.141Z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