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03. ENUNCIADOS AO CÓDIGO CIVIL
      RESPONSABILIDADE CIVIL</w:t>
      </w:r>
    </w:p>
    <w:p/>
    <w:p>
      <w:pPr>
        <w:pStyle w:val="Heading2"/>
      </w:pPr>
      <w:r>
        <w:rPr>
          <w:b/>
          <w:bCs/>
        </w:rPr>
        <w:t xml:space="preserve">Ementa</w:t>
      </w:r>
    </w:p>
    <w:p>
      <w:r>
        <w:t xml:space="preserve">RESPONSABILIDADE CIVIL 37 - Art. 187: a responsabilidade civil decorrente do abuso do direito independe de culpa, e fundamenta-se somente no critério objetivo-finalístico. 38 - Art. 927: a responsabilidade fundada no risco da atividade, como prevista na segunda parte do parágrafo único do art. 927 do novo Código Civil, configura-se quando a atividade normalmente desenvolvida pelo autor do dano causar a pessoa determinada um ônus maior do que aos demais membros da coletividade. 39 - Art. 928: a impossibilidade de privação do necessário à pessoa, prevista no art. 928, traduz um dever de indenização eqüitativa, informado pelo princípio constitucional da proteção à dignidade da pessoa humana. Como conseqüência, também os pais, tutores e curadores serão beneficiados pelo limite humanitário do dever de indenizar, de modo que a passagem ao patrimônio do incapaz se dará não quando esgotados todos os recursos do responsável, mas se reduzidos estes ao montante necessário à manutenção de sua dignidade. 40 - Art. 928: o incapaz responde pelos prejuízos que causar de maneira subsidiária ou excepcionalmente, como devedor principal, na hipótese do ressarcimento devido pelos adolescentes que praticarem atos infracionais, nos termos do art. 116 do Estatuto da Criança e do Adolescente, no âmbito das medidas sócioeducativas ali previstas. 41 - Art. 928: a única hipótese em que poderá haver responsabilidade solidária do menor de 18 anos com seus pais é ter sido emancipado nos termos do art. 5º, parágrafo único, inc. I, do novo Código Civil. 42 - Art. 931: o art. 931 amplia o conceito de fato do produto existente no art. 12 do Código de Defesa do Consumidor, imputando responsabilidade civil à empresa e aos empresários individuais vinculados à circulação dos produtos. 43 - Art. 931: a responsabilidade civil pelo fato do produto, prevista no art. 931 do novo Código Civil, também inclui os riscos do desenvolvimento. 44 - Art. 934: n a hipótese do art. 934, o empregador e o comitente somente poderão agir regressivamente contra o empregado ou preposto se estes tiverem causado dano com dolo ou culpa. 45 - Art. 935: no caso do art. 935, não mais se poderá questionar sobre a existência do fato ou sobre quem seja o seu autor se essas questões se acharem categoricamente decididas no juízo criminal. 46 - Art. 944: a possibilidade de redução do montante da indenização em face do grau de culpa do agente, estabelecida no parágrafo único do art. 944 do novo Código Civil, deve ser interpretada restritivamente, por representar uma exceção ao princípio da reparação integral do dano, não se aplicando às hipóteses de responsabilidade objetiva. 47 - Art. 945: o art. 945 do Código Civil, que não encontra correspondente no Código Civil de 1916, não exclui a aplicação da teoria da causalidade adequada. 48 - Art. 950, parágrafo único: o parágrafo único do art. 950 do novo Código Civil institui direito potestativo do lesado para exigir pagamento da indenização de uma só vez, mediante arbitramento do valor pelo juiz, atendidos os arts. 944 e 945 e a possibilidade econômica do ofensor. 49 - Art. 1.228, § 2º: a regra do art. 1.228, § 2º, do novo Código Civil interpreta-se restritivamente, em harmonia com o princípio da função social da propriedade e com o disposto no art. 187. 50 - Art. 2.028: a partir da vigência do novo Código Civil, o prazo prescricional das ações de reparação de danos que não houver atingido a metade do tempo previsto no Código Civil de 1916 fluirá por inteiro, nos termos da nova lei (art. 206). MOÇÃO: No que tange à responsabilidade civil, o novo Código representa, em geral, notável avanço, com progressos indiscutíveis, entendendo a Comissão que não há necessidade de prorrogação da vacatio legis.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2026-07-28T02:17:41.724Z</dcterms:created>
  <dcterms:modified xsi:type="dcterms:W3CDTF">2026-07-28T02:17:41.724Z</dcterms:modified>
</cp:coreProperties>
</file>

<file path=docProps/custom.xml><?xml version="1.0" encoding="utf-8"?>
<Properties xmlns="http://schemas.openxmlformats.org/officeDocument/2006/custom-properties" xmlns:vt="http://schemas.openxmlformats.org/officeDocument/2006/docPropsVTypes"/>
</file>