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 .</w:t>
      </w:r>
    </w:p>
    <w:p/>
    <w:p>
      <w:r>
        <w:t xml:space="preserve">06. ENUNCIADOS AO CÓDIGO CIVIL
      DIREITO DE FAMÍLIA E SUCESSÕES</w:t>
      </w:r>
    </w:p>
    <w:p/>
    <w:p>
      <w:pPr>
        <w:pStyle w:val="Heading2"/>
      </w:pPr>
      <w:r>
        <w:rPr>
          <w:b/>
          <w:bCs/>
        </w:rPr>
        <w:t xml:space="preserve">Ementa</w:t>
      </w:r>
    </w:p>
    <w:p>
      <w:r>
        <w:t xml:space="preserve">DIREITO DE FAMÍLIA E SUCESSÕES 97 - Art. 25: no que tange à tutela especial da família, as regras do Código Civil que se referem apenas ao cônjuge devem ser estendidas à situação jurídica que envolve o companheirismo, como por exemplo na hipótese de nomeação de curador dos bens do ausente (art. 25 do Código Civil). 98 - Art. 1.521, IV, do novo Código Civil: o inc. IV do art. 1.521 do novo Código Civil deve ser interpretado à luz do Decreto-Lei n. 3.200/41 no que se refere à possibilidade de casamento entre colaterais de 3º grau. 99 - Art. 1.565, § 2º: o art. 1.565, § 2º, do Código Civil não é norma destinada apenas às pessoas casadas, mas também aos casais que vivem em companheirismo, nos termos do art. 226, caput, §§ 3º e 7º, da Constituição Federal de 1988, e não revogou o disposto na Lei n. 9.263/96. 100 - Art. 1.572: na separação, recomenda-se apreciação objetiva de fatos que tornem evidente a impossibilidade da vida em comum. 101 - Art. 1.583: sem prejuízo dos deveres que compõem a esfera do poder familiar, a expressão "guarda de filhos", à luz do art. 1.583, pode compreender tanto a guarda unilateral quanto a compartilhada, em atendimento ao princípio do melhor interesse da criança. 102 - Art. 1.584: a expressão "melhores condições" no exercício da guarda, na hipótese do art. 1.584, significa atender ao melhor interesse da criança. 103 - Art. 1.593: o Código Civil reconhece, no art. 1.593, outras espécies de parentesco civil além daquele decorrente da adoção, acolhendo, assim, a noção de que há também parentesco civil no vínculo parental proveniente quer das técnicas de reprodução assistida heteróloga relativamente ao pai (ou mãe) que não contribuiu com seu material fecundante, quer da paternidade socioafetiva, fundada na posse do estado de filho. 104 - Art. 1.597: no âmbito das técnicas de reprodução assistida envolvendo o emprego de material fecundante de terceiros, o pressuposto fático da relação sex ual é substituído pela vontade (ou eventualmente pelo risco da situação jurídica matrimonial) juridicamente qualificada, gerando presunção absoluta ou relativa de paternidade no que tange ao marido da mãe da criança concebida, dependendo da manifestação expressa (ou implícita) da vontade no curso do casamento. 105 - Art. 1.597: as expressões "fecundação artificial", "concepção artificial" e "inseminação artificial" constantes, respectivamente, dos incs. III, IV e V do art. 1.597, deverão ser interpretadas como "técnica de reprodução assistida". 106 - Art. 1.597, inc. III: para que seja presumida a paternidade do marido falecido, será obrigatório que a mulher, ao se submeter a uma das técnicas de reprodução assistida com o material genético do falecido, esteja na condição de viúva, sendo obrigatório, ainda, que haja autorização escrita do marido para que se utilize seu material genético após sua morte. 107 - Art.1.597, IV: finda a sociedade conjugal, na forma do art. 1.571, a regra do inc. IV somente poderá ser aplicada se houver autorização prévia, por escrito, dos ex-cônjuges, para a utilização dos embriões excedentários, só podendo ser revogada até o início do procedimento de implantação desses embriões. 108 - Art. 1.603: no fato jurídico do nascimento, mencionado no art. 1.603, compreende-se, à luz do disposto no art. 1.593, a filiação consangüínea e também a socioafetiva. 109 - Art. 1.605: a restrição da coisa julgada oriunda de demandas reputadas improcedentes por insuficiência de prova, não deve prevalecer para inibir a busca da identidade genética pelo investigando. 110 - Art. 1.621, § 2º: é inaplicável o § 2º do art. 1.621 do novo Código Civil às adoções realizadas com base no Estatuto da Criança e do Adolescente. 111 - Art. 1.626: a adoção e a reprodução assistida heteróloga atribuem a condição de filho ao adotado e à criança resultante de técnica conceptiva heteróloga; porém, enquanto na adoção haverá o d esligamento dos vínculos entre o adotado e seus parentes consangüíneos, na reprodução assistida heteróloga sequer será estabelecido o vínculo de parentesco entre a criança e o doador do material fecundante. 112 - Art. 1.630: em acordos celebrados antes do advento do novo Código, ainda que expressamente convencionado que os alimentos cessarão com a maioridade, o juiz deve ouvir os interessados, apreciar as circunstâncias do caso concreto e obedecer ao princípio rebus sic stantibus. 113 - Art. 1.639: é admissível a alteração do regime de bens entre os cônjuges, quando então o pedido, devidamente motivad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2026-07-27T23:42:36.253Z</dcterms:created>
  <dcterms:modified xsi:type="dcterms:W3CDTF">2026-07-27T23:42:36.253Z</dcterms:modified>
</cp:coreProperties>
</file>

<file path=docProps/custom.xml><?xml version="1.0" encoding="utf-8"?>
<Properties xmlns="http://schemas.openxmlformats.org/officeDocument/2006/custom-properties" xmlns:vt="http://schemas.openxmlformats.org/officeDocument/2006/docPropsVTypes"/>
</file>