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>
      <w:r>
        <w:rPr>
          <w:b/>
          <w:bCs/>
        </w:rPr>
        <w:t xml:space="preserve">Recurso: </w:t>
      </w:r>
      <w:r>
        <w:t xml:space="preserve">Agravo de Instrumento 2002.002.13237</w:t>
      </w:r>
    </w:p>
    <w:p>
      <w:r>
        <w:rPr>
          <w:b/>
          <w:bCs/>
        </w:rPr>
        <w:t xml:space="preserve">Relator: </w:t>
      </w:r>
      <w:r>
        <w:t xml:space="preserve">Marcus Faver Registro</w:t>
      </w:r>
    </w:p>
    <w:p/>
    <w:p>
      <w:r>
        <w:t xml:space="preserve">67. LEASING — VALOR RESIDUAL - COBRANÇA ANTECIPADA - CONTRATO - NÃO DESCARACTERIZAÇÃO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Nº 67 LEASING - VALOR RESIDUAL - COBRANÇA ANTECIPADA - CONTRATO - NÃO DESCARACTERIZAÇÃO "A cobrança antecipada do valor residual (VRG) pelo arrendador, não descaracteriza o contrato de arrendamento mercantil (LEASING), podendo, para a solução do litígio, ser utilizada tanto a ação reintegratória específica com possível liminar, como a ação ordinária, com eventual antecipação de tutela, se preenchidos os requisitos do art. 273, I e II do Código de Processo Civil." REFERÊNCIA: Uniformização de Jurisprudência nº 2003.018.00001 no Agravo de Instrumento nº 2002.002.13237 Julgamento em 11/08/2003 Votação: por maioria Relator: Desembargador Marcus Faver Registro de Acórdão em 14/10/2003 - fls. 5939/5960 EMENTÁRIO FORENSE. Dezembro, 2004. Ano LVI. Nº 673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2026-10-26T02:22:15.187Z</dcterms:created>
  <dcterms:modified xsi:type="dcterms:W3CDTF">2026-10-26T02:22:15.187Z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