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SUPREMO TRIBUNAL FEDERAL</w:t>
      </w:r>
    </w:p>
    <w:p>
      <w:r>
        <w:rPr>
          <w:i/>
          <w:iCs/>
          <w:color w:val="666666"/>
        </w:rPr>
        <w:t xml:space="preserve">REGIMENTO INTERNO</w:t>
      </w:r>
    </w:p>
    <w:p/>
    <w:p/>
    <w:p>
      <w:r>
        <w:t xml:space="preserve">25. Título IV — Da Organização dos Poderes
      Capítulo III - Do Poder Judiciário
      Seção II - Do Supremo Tribunal Federal</w:t>
      </w:r>
    </w:p>
    <w:p/>
    <w:p>
      <w:pPr>
        <w:pStyle w:val="Heading2"/>
      </w:pPr>
      <w:r>
        <w:rPr>
          <w:b/>
          <w:bCs/>
        </w:rPr>
        <w:t xml:space="preserve">Ementa</w:t>
      </w:r>
    </w:p>
    <w:p>
      <w:r>
        <w:t xml:space="preserve">TÍTULO IV Da Organização dos Poderes CAPÍTULO III DO PODER JUDICIÁRIO Seção II DO SUPREMO TRIBUNAL FEDERAL Art. 101. O Supremo Tribunal Federal compõe-se de onze Ministros, escolhidos dentre cidadãos com mais de trinta e cinco e menos de sessenta e cinco anos de idade, de notável saber jurídico e reputação ilibada. Parágrafo único. Os Ministros do Supremo Tribunal Federal serão nomeados pelo Presidente da República, depois de aprovada a escolha pela maioria absoluta do Senado Federal. Art. 102. Compete ao Supremo Tribunal Federal, precipuamente, a guarda da Constituição, cabendo-lhe: I - processar e julgar, originariamente: "a) a ação direta de inconstitucionalidade de lei ou ato normativo federal ou estadual;" a) a ação direta de inconstitucionalidade de lei ou ato normativo federal ou estadual e a ação declaratória de constitucionalidade de lei ou ato normativo federal; (Redação dada pela Emenda Constitucional nº 3, de 1993) b) nas infrações penais comuns, o Presidente da República, o Vice-Presidente- Presidente, os membros do Congresso Nacional, seus próprios Ministros e o Procurador-Geral da República; "c) nas infrações penais comuns e nos crimes de responsabilidade, os Ministros de Estado, ressalvado o disposto no art. 52, I, os membros dos Tribunais Superiores, os do Tribunal de Contas da União e os chefes de missão diplomática de caráter permanente;" c) nas infrações penais comuns e nos crimes de responsabilidade, os Ministros de Estado e os Comandantes da Marinha, do Exército e da Aeronáutica, ressalvado o disposto no art. 52, I, os membros dos Tribunais Superiores, os do Tribunal de Contas da União e os chefes de missão diplomática de caráter permanente; (Redação dada pela Emenda Constitucional nº 23, de 1999) d) o "habeas-corpus", sendo paciente qualquer das pessoas referidas nas alíneas anteriore s; o mandado de segurança e o "habeas-data" contra atos do Presidente da República, das Mesas da Câmara dos Deputados e do Senado Federal, do Tribunal de Contas da União, do Procurador-Geral da República e do próprio Supremo Tribunal Federal; e) o litígio entre Estado estrangeiro ou organismo internacional e a União, o Estado, o Distrito Federal ou o Território; f) as causas e os conflitos entre a União e os Estados, a União e o Distrito Federal, ou entre uns e outros, inclusive as respectivas entidades da administração indireta; g) a extradição solicitada por Estado estrangeiro; "h) a homologação das sentenças estrangeiras e a concessão do "exequatur" às cartas rogatórias, que podem ser conferidas pelo regimento interno a seu Presidente;"(Revogado pela Emenda Constitucional nº 45, de 2004) "i) o "habeas-corpus", quando o coator ou o paciente for tribunal, autoridade ou funcionário cujos atos estejam sujeitos diretamente à jurisdição do Supremo Tribunal Federal, ou se trate de crime sujeito à mesma jurisdição em uma única instância;" i) o habeas corpus, quando o coator for Tribunal Superior ou quando o coator ou o paciente for autoridade ou funcionário cujos atos estejam sujeitos diretamente à jurisdição do Supremo Tribunal Federal, ou se trate de crime sujeito à mesma jurisdição em uma única instância; (Redação dada pela Emenda Constitucional nº 22, de 1999) j) a revisão criminal e a ação rescisória de seus julgados; l) a reclamação para a preservação de sua competência e garantia da autoridade de suas decisões; m) a execução de sentença nas causas de sua competência originária, facultada a delegação de atribuições para a prática de atos processuais; n) a ação em que todos os membros da magistratura sejam direta ou indiretamente interessados, e aquela em que mais da metade dos membros do tribunal de origem estejam impedidos ou sejam direta ou indiretamente interes sados; o) os conflitos de competência entre o Superior Tribunal de Justiça e quaisquer tribunais, entre Tribunais Superiores, ou entre estes e qualquer outro tribunal; p) o pedido de medida cautelar das ações diretas de inconstitucionalidade; q) o mandado de injunção, quando a elaboração da norma regulamentadora for atribuição do Presidente da República, do Congresso Nacional, da Câmara dos Deputados, do Senado Federal, das Mesas de uma dessas Casas Legislativas, do Tribunal de Contas da União, de um dos Tribunais Superiores, ou do próprio Supremo Tribunal Federal; r) as ações contra o Conselho Nacional de Justiça e contra o Conselho Nacional do Ministério Público; (Incluída pela Emenda Constitucional nº 45, de 2004) II - julgar, em recurso ordinário: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2026-07-27T23:53:22.283Z</dcterms:created>
  <dcterms:modified xsi:type="dcterms:W3CDTF">2026-07-27T23:53:22.283Z</dcterms:modified>
</cp:coreProperties>
</file>

<file path=docProps/custom.xml><?xml version="1.0" encoding="utf-8"?>
<Properties xmlns="http://schemas.openxmlformats.org/officeDocument/2006/custom-properties" xmlns:vt="http://schemas.openxmlformats.org/officeDocument/2006/docPropsVTypes"/>
</file>