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CONTRATO DE FINANCIAMENTO</w:t>
      </w:r>
    </w:p>
    <w:p/>
    <w:p/>
    <w:p>
      <w:r>
        <w:t xml:space="preserve">SUA ILEGITIMIDADE NO PÓLO PASSIVO DA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Assim, devem figurar nos pólos ativo e passivo da relação processual os sujeitos (ativo e passivo) titulares da relação obrigacional (in casu, a locação) para se atender ao que LIEBMAN chama lapidarmente de pertenenza soggetiva della azione. - No caso vertente, a ação foi intentada contra O.G. que, como se vê é mero representante do locador J. A. P., não podendo, pois, assumir o pólo passivo da relação processual. Ac. de 05-11-1990 VENCIDO O JUIZ BATISTA LOPES Revista dos Tribunais - Dez. de 1991 - Vol. 674 - Pág. 152. EMFOR 525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parte ilegítima para figurar no pólo passivo da ação de consignação em pagamento de aluguel o administrador do imóvel do locador, pois é mero representante deste e não titular da relação obrigacional.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2026-07-28T00:40:40.160Z</dcterms:created>
  <dcterms:modified xsi:type="dcterms:W3CDTF">2026-07-28T00:40:40.160Z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