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CONTRATO DE FINANCIAMENTO</w:t>
      </w:r>
    </w:p>
    <w:p/>
    <w:p/>
    <w:p>
      <w:r>
        <w:t xml:space="preserve">TRANSFERÊNCIA DE TITULARIDADE — RECUSA DO CREDOR -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Assim, a partir da M.P. nº 168 (depois convertida em Lei nº 8.024), o pagamento só poderia ser feito em cruzeiros, que passou a ser a moeda corrente. - Não socorre o texto do art. 12 daquele diploma, porquanto não lhe era dado constranger o credor a receber por transferência de titularidade de cruzados novos, a uma porque tal prática quebraria o equilíbrio econômico do contrato, deixando em mãos do credor (no caso uma construtora e incorporadora que executava a incorporação e construção) moeda bloqueada, da qual não teria disponibilidade para prosseguir na execução contratada: a duas, porque a expressão contida naquele texto"... são passíveis de transferência..." significa a nenhuma obrigatoriedade de ser recebida aquela moeda, e mais além disso, indica a necessidade de anuência daquele a quem seria feita a transferência. - Não sendo desse modo, aplicável obrigatoriamente a regra do art. 12 citado, a prevalência fica com o texto do art. 947 do Código Civil, segundo o qual o pagamento tem que ser feito em moeda corrente, no caso, portanto, o cruzeiro. Ac. de 07-11-1991 Arquivo do EMFOR - TJ/2.236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moeda do pagamento é a corrente no País, contemporaneamente ao vencimento da obrigação. Justa é a recusa do credor à oferta que lhe fez o devedor, após a edição da MP nº 168, de pagamento mediante transferência de titularidade de cruzados novos.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2026-10-26T02:35:57.325Z</dcterms:created>
  <dcterms:modified xsi:type="dcterms:W3CDTF">2026-10-26T02:35:57.325Z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