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REVISIONAL DE APOSENTADORIA</w:t>
      </w:r>
    </w:p>
    <w:p/>
    <w:p/>
    <w:p>
      <w:r>
        <w:t xml:space="preserve">INCONSTITUCIONALIDADE — MEDIDA PROVISÓRIA 1.415/96 - MEDIDA PROVISÓRIA 1.463/96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 VARA FEDERAL PREVIDENCIÁRIA, SEÇÃO JUDICIÁRIA DO ... AUTOS Nº ... ..., já qualificados nos autos de Ação Ordinária em epígrafe que promovem contra o INSS, por seus advogados ao final assinado, vêm respeitosamente à presença de Vossa Excelência, em atendimento ao r. despacho de fls., apresentar sua IMPUGNAÇÃO À CONTESTAÇÃO pelos fatos e fundamentos de direito que a seguir expõe: Alega a autarquia ré, em sua contestação, que os autores não têm razão em alegar a inconstitucionalidade e ilegalidade da Medida provisória atacada nestes autos, qual seja, MP nº 1415/96, bem como não sofrem redução ou prejuízo em seus benefícios posto que o reajuste concedido aos beneficiários da Previdência Social foi superior à inflação verificada no período antecedem a este ato. Ressalta o réu que o contido no parágrafo 2º do artigo 201 da Constituição Federal, preocupou-se com a defasagem que vinha sofrendo os benefícios previdenciários, em razão da inflação galopante que assolava o país, sem desconsiderar os tortuosos critérios de cálculos, aliados a uma prática recessiva da economia. Continua suas alegações, aduzindo que o fato concreto que ocorreu com a edição e adoção da aludida MP, foi um ganho real de 3% (três por cento) nos benefícios dos autores. Por fim, alega o réu, que a MP ora atacada tem força de lei, conforme previsto na própria Constituição. Evidente que a Medida Provisória tem força de Lei, porém, exige dois requisitos inquestionáveis para a sua edição, quais sejam: "caso de relevância e caso de urgência". Estes dois pressupostos são, na verdade, indispensáveis para a edição de Medidas Provisórias, e que o governo federal vem se utilizando deste expediente sem obedecer os referidos critérios, tal como ocorrera no passado, utilizando-se de decretos para legislar. Com esta prática, aproveitam-se de momentos históricos, no caso em tela, a época de concessão dos reajustes dos benefícios da Previdência Social, estabelecendo a urgência e relevância da edição de Medidas Provisórias para diversas razões, como se verificou no presente caso, para conceder o reajuste aos autores, burlando assim, a necessidade de aprovação de uma Lei pelo Congresso Nacional e pelo Senado. Trata-se, portanto, de uma articulação política com os benefícios dos autores, pois estes sempre são surpreendidos com os critérios relâmpagos adotados pela requerida. Note-se que a Lei Ordinária prevê um índice de reajuste que realmente preserva em caráter permanente o valor dos benefícios dos autores, bem como afasta a possibilidade de redutibilidade destes, quando é editada uma Medida Provisória que faz com que todas essas perspectivas sejam destruídas. Ainda, muito bem assevera a requerida quando afirma que "outras medidas provisórias foram editadas posteriormente, alterando o índice de reajustamento dos benefícios previdenciários...". Este país, ultimamente, vem sendo legislado por Medidas Provisórias. No caso em tela, verificou-se a alteração de índices para o reajuste dos benefícios dos autores conforme o próprio requerido aduz em sua contestação. Portanto, cabe analisar o índice concedido pelo IGP-DI e a efetiva inflação no período para caracterizar-se, de forma insofismável, o prejuízo sofrido pelos autores. Pelas razões fartamente demonstradas, é evidente o prejuízo crescente e cumulado que sofrem os autores, pelo que ratificam integralmente a inicial, esperando a integral procedência do pedido, condenando ainda a ré às cominações legais. Nestes Termos, pede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2026-07-28T00:07:19.854Z</dcterms:created>
  <dcterms:modified xsi:type="dcterms:W3CDTF">2026-07-28T00:07:19.854Z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