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17/12/1985</w:t>
      </w:r>
    </w:p>
    <w:p/>
    <w:p>
      <w:r>
        <w:t xml:space="preserve">MUTUÁRIO DO SFH — DIREITO A INTEGRALIZÁ-LO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 informaram que têm direito de pagar o débito pelo saldo de julho/84, que é de Cr$ 13. 579.679, e esclareceram que desde julho/84 estão pagando as prestações, mas não têm meios de saber qual o saldo devedor. - Tal fato, por si só não é motivo para o indeferimento da inicial, pois é sabido que somente o BNH e seus agentes financeiros têm meios de saber como são calculadas as verbas mencionadas na inicial, e, no caso somente a ré tem condições de fornecer as informações necessárias, que, inclusive, foram pedidas na inicial. - Por outro lado, como apontaram os apelantes, nos termos do artigo 899 do CPC, compete à ré, ao contestar, alegar se o depósito é ou não integral e apresentar os cálculos adequados. - Na lição de ADROALDO FURTADO FABRÍCIO: "A regra do artigo, que é nova no Direito nacional e não encontra equivalente exato no Comparado favorece o devedor com uma nova oportunidade para integralizar o depósito, ante a alegação da contra-parte de ser ele insuficiente. Foi sensível o legislador, no particular, a certas situações em que a precisa determinação do montante do débito é difícil e depende de fatores e cálculos complexos, ou o quantum é de si mesmo impreciso e talvez variável de uma para outra prestação periódica" (Comentários do Código de Processo Civil, Forense, 1980, t. III v. VIII/179 e 180. - Assim, ao contrário do que consta na r. sentença , há interesse de agir... - Deram provimento para anular a sentença, determinando regular andamento do processo. Julgado em 18-12-1985 Revista dos Tribunais. Abril, 1986 - Ano 75 - Vol. 606 - Pág. 127 EMFOR 455 EMENTA: - O excesso de oferta não se constitui em motivo para ser tida como improcedente a consignação em pagamento. RESUMO DO ACÓRDÃO: - . . . Na verdade, o que houve foi uma oferta por soma superior ao débito. Mas tal situação não esta prevista em nossa lei processual, onde se vê que pelo art. 896, e seus 4 incisos, o âmbito da contestação é restrito, aí não se incluindo, a hipótese de oferta maior. - Sobre o assunto há na Revista de Jurisprudência, do nosso Egrégio Tribunal de Justiça , 3ª Câmara , vol. 8, pág. 178 preciosa decisão tendo como Relator douto Desembargador , ALCINO PINTO FALCÃO, cuja ementa está assim concebida: "o excesso de oferta não é motivo para ser tida como improcedente a consignação em pagamento. Aposição correta do interessante problema teórico." - No corpo do acórdão o erudito Relator traz a colação decisão da Justiça Italiana onde se lê, "L'ofertta reale fatta per soma superiore alla dovuta nom é nulla ma reducibile"; e invoca a doutrina estrangeira, citando ÂNGELO FALZEA, em sua obra de alta especialização ( L'offerta reale e la liberazione coativa del debitore), com citação de vários autores no mesmo sentido. - Acentua ainda, invocando o art. 316 do CPC (o anterior) que, registre-se, é exatamente igual ao atual, que os motivos ali enumerados são taxativos, não permitindo outras discussões no âmbito da contestação. - Vê-se pois, também desassistir razão aos recorrentes, nesse ponto de seu inconformismo. - Por fim, as justificativas que apresentam para cobrança, indevida a título de despesas de intermediação e imposto sobre serviços, o que foi repelido pela sentença, com fundamento no art. 18, nº VI , da Lei 6.649/79, não tem procedência, visto que como se vê, . . . tais cobranças vinham sendo feitas com frontal vulneração do dispositivo legal acima invocado. - Quanto à recusa dos apelantes ao recebimento dos alugueres está demonstrada não somente pelo que consta do depoimento . . . como decorre da própria circunstância de quererem os locadores cobrar mais do que o devido, com o que não se conformam os locatários, como exsurge dos próprios autos. - Nega-se provimento ao recurso, mantendo assim, a sentença recorrida pelos seus próprios fundamentos. Julgado em 18-03-1986 Arquivo do Ementário Forense, TA /707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899 do Código de Processo Civil. - A regra do art. 899 do CPC favorece o devedor com nova oportunidade para integralizar o débito ante a alegação, pela contraparte, de ser ele insuficiente. O legislador foi sensível a certas situações, em que a precisa determinação do montante do débito é difícil e depende de fatores e cálculos complexos, como se dá nos casos de contratos do SFH, em que só o BNH e seus agentes têm meios de saber como são calculados os débitos vincendos.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2026-07-27T23:57:53.033Z</dcterms:created>
  <dcterms:modified xsi:type="dcterms:W3CDTF">2026-07-27T23:57:53.033Z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