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HONORÁRIOS DE ADVOGADO</w:t>
      </w:r>
    </w:p>
    <w:p>
      <w:r>
        <w:rPr>
          <w:i/>
          <w:iCs/>
          <w:color w:val="666666"/>
        </w:rPr>
        <w:t xml:space="preserve">AÇÃO RESULTANTE DE DOLO OU CULPA</w:t>
      </w:r>
    </w:p>
    <w:p/>
    <w:p/>
    <w:p>
      <w:r>
        <w:t xml:space="preserve">QUAL A APLICÁVEL PARA O SEU CABIMENTO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Admito como o fez o Ministério Público , que houve lapso material em indicar-se o fundamento desta rescisória como sendo o inciso VI - e não o inciso V - do permissivo próprio, como os argumentos deduzidos na inicial autorizam a supor: - Consigno ainda que, havendo a decisão final transitado em julgado já na vigência do presente Código de Processo, não pode a ação buscar apoio em dispositivo do estatuto revogado, já que a lei vigente à época do trânsito em julgado da sentença regula as hipóteses de cabimento da rescisória (RR.EE. 86.750 - RTJ 82/982; e AR 944-RTJ 99/17). Ac. de 18-02-1987 Revista Trimestral de Jurisprudência, Vol. 120 (Junho/87), Pág. 969. EMFOR 478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 lei vigente à época do trânsito em julgado da sentença regula as hipóteses de cabimento da rescisória 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RTJ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2026-09-11T06:25:35.280Z</dcterms:created>
  <dcterms:modified xsi:type="dcterms:W3CDTF">2026-09-11T06:25:35.280Z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