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CANCELAMENTO DE REGISTRO DE IMÓVEIS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Julgado em: </w:t>
      </w:r>
      <w:r>
        <w:t xml:space="preserve">10/11/1997</w:t>
      </w:r>
    </w:p>
    <w:p/>
    <w:p>
      <w:r>
        <w:t xml:space="preserve">ALTERAÇÃO DE FACHADA — AQUIESCÊNCIA DOS DEMAIS CONDÔMINOS - APELAÇÃO - NULIDADE DE ACÓRDÃO - EMBARGOS DE DECLARAÇÃO - PREQUESTIONAMENTO NECESSÁRIO - RECURSO ESPECIAL - ART. 105/CF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Presidente do Tribunal de Justiça do Estado do ............ ................., brasileiro, casado, bancário, portador da cédula de identidade RG n. .........., inscrito no CNPF/MF sob o n. .............., residente e domiciliado nesta capital, na Al. ..........., ..., apartamento ...., ...., por seus advogados, ................. e .............., inscritos na OAB/... sob os n. ........... e .......... respectivamente, com escritório profissional em ........../..., na Al. .............., ...., ... andar, conjunto ...., onde recebem intimações, vem respeitosamente à presença de Vossa Excelência, nos autos n. ................. de Recurso de Apelação, em que, perante esse Areópago, é recorrente, e tem como recorrido ....................., inscrito no CNPJ sob o n. ................, com sede em ............., na Al. .............., .... oferecer o presente RECURSO ESPECIAL e requerer sua oportuna remessa, com as inclusas razões, ao Egrégio Superior Tribunal de Justiça, para reforma do acórdão recorrido, o que faz com fundamento no artigo 105, III, alínea "a" e "c" da Constituição Federal. N. Termos, P. Deferimento. ................................ Advogado Excelentíssimo Senhor Ministro-Presidente do Colendo Superior Tribunal de Justiça Tribunal de Justiça do ..... Apelação Cível n.º ............ P/Recorrente : ................ Recorrido : ...................... RAZÕES DO RECURSO ESPECIAL I - Preliminar de mérito recursal: Inicialmente invoca como preliminar do mérito recursal a nulidade do acórdão n.º ............., que negou provimento aos Embargos de Declaração .............., onde entendeu a Colenda ..... Câmara Cível do Tribunal a quo como estranha ao objeto dos embargos o alegado cerceamento de defesa fala ao julgamento da Apelação Civil n.º ............... Cerceamento este havido em decorrência de ter sido incluído o julgamento em pauta extraordinária da Colenda Câmara Cível sem, que houvesse a intimação das partes para tanto. Sem a intimação o recorrente ficou impedido de apresentar memoriais ou defesa oral, sendo tolhido em seu direito de ampla defesa. Ocorre que a oposição dos embargos declaratórios pelo ora recorrido objetivava exatamente uma perfeita instrução do Especial ora articulado. Havia a necessidade do prequestionamento expresso a fim de formar o presente recurso. Somente por estas razões o v. Acórdão n.º ....... está eivado de nulidade, pois não observou o necessário prequestionamento quanto a matéria nele suscitada, qual seja a falta de intimação das partes quando do julgamento da Apelação Cível. II - O fato: O litígio originou-se por ocasião da modificação no apartamento do recorrido, referente a troca da janela de sua sala por uma porta com acesso a uma área externa. Necessário esclarecer que a localização do apartamento em questão, em relação a rua, é os fundos do lote de terreno onde encontra-se o edifício. Ocorre que tanto a sala como dois quartos do apartamento com janelas para estes fundos, e um metro abaixo destas janelas, pelo lado de fora, encontra-se uma área de laje à qual não possui nenhum outro acesso senão pelo apartamento do recorrido e de seu vizinho. Infelizmente nesta área acumulam-se detritos dos mais variados tipos, lançados das janelas dos apartamentos de andares superiores (fotos de fls. ....). Durante anos a limpeza desta área era feita pela zeladora do condomínio ou por algum morador do apartamento do recorrido pulando-se a janela, o que ocasionava risco à integridade física das pessoas, razão pela qual promoveu-se a modificação de uma das janelas por uma porta (no caso a da sala). 1 - Versão da recorrida: 1.1 - Esta modificação ocorreu sem que houvesse a aprovação em assembléia pela unanimidade dos condôminos a autorizá-la; 1.2 - A modificação é irregular, pois carece de alvará junto a Prefeitura Municipa l de .......... para a efetivação da mesma; 1.3 - A área a qual esta porta de acesso passou a ser utilizada pelo recorrente e seus familiares como área de lazer. 2 - Versão do recorrente: 2.1 - A modificação só foi efetivada após a aprovação em assembléia, pela unanimidade dos condôminos para tanto, havida em .../.../... (ata de fls. ....); 2.2 - A obra (troca de janela por porta) está perfeitamente regularizada junto a Prefeitura Municipal de ..............., face o Alvará n.º .......... (fls. ...); 2.3 - A modificação teve como único condão facilitar a limpeza da área em questão, que passou a ser efetivada com maior assiduidade e pelos 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2026-07-28T00:26:24.627Z</dcterms:created>
  <dcterms:modified xsi:type="dcterms:W3CDTF">2026-07-28T00:26:24.627Z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