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ASSALTO A ÔNIBUS</w:t>
      </w:r>
    </w:p>
    <w:p/>
    <w:p/>
    <w:p>
      <w:r>
        <w:t xml:space="preserve">COTAS EM ATRASO — INCIDÊNCIA SOBRE A UNIDADE CONDOMINIAL - HIPÓTESE DE OBRIGAÇÃO "PROPTER REM"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recorrida, proferida nos termos abaixo transcritos, está a merecer confirmação, verbis: "Indefiro a penhora da renda requerida às fls., devendo a execução processar-se pelo meio menos gravoso ao devedor. Na hipótese, tenho que o meio menos gravoso seria a penhora da unidade cujo débito condominial aqui se executa." - A pretensão, deduzida pela exeqüente nos autos da execução, repetida em grau de recurso, "data venia",. se me afigura até inexeqüível, na medida em que postula que a penhora recaia sobre "a renda" de estabelecimento bancário, não havendo como proceder-se a arrecadação diária de qualquer importância, na medida em que o banco arrecada importâncias, para repassá-las a terceiros e para mantê-los em depósito, em nome do cliente. - A situação é diversa daquela que ocorre em outros ramos da atividade humana, como por exemplo, na exploração de uma loja, de um magazine, etc. - As dívidas resultantes de falta de pagamento de cotas condominiais em atraso se caracterizam como obrigações "propter rem", estabelecidas sempre em favor do condomínio credor e, sempre que possível, a penhora deverá recair sobre a unidade condominial. - Na espécie a penhora, como bem decidido pelo juiz, deverá recair sobre o próprio bem, cumprindo-se a determinação da Lei Processual, para que a execução se faça de forma menos gravosa. - A circunstância do executado não haver indicado, no prazo, o bem para sofrer a constrição judicial, por si só, não obriga a que o Juiz tenha que determinar que a penhora incida sobre aquele que foi indicado pela Exeqüente. - Por tais fundamentos, nego provimento ao recurso. Ac. de 25-04-2002 DJ de 13-0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dívidas de cotas condominiais em atraso se caracterizam como obrigações "propter rem" estabelecidas sempre em favor do condomínio credor e, sempre que possível a constrição judicial deverá recair sobre a unidade condominial.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2026-10-26T03:23:57.446Z</dcterms:created>
  <dcterms:modified xsi:type="dcterms:W3CDTF">2026-10-26T03:23:57.446Z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