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>
      <w:r>
        <w:rPr>
          <w:b/>
          <w:bCs/>
        </w:rPr>
        <w:t xml:space="preserve">Recurso: </w:t>
      </w:r>
      <w:r>
        <w:t xml:space="preserve">Agravo de Instrumento 4.324/2001</w:t>
      </w:r>
    </w:p>
    <w:p/>
    <w:p>
      <w:r>
        <w:t xml:space="preserve">INCIDÊNCIA SOBRE A RECEITA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caso foi indicado à penhora um elevador que os agravantes dizem ter mais de 50 anos, além de que a nomeação não obedeceu ao prescrito no artigo 656 do Código de Processo Civil, em especial o inciso VI, sendo certo que não houve concordância dos credores. - A penhora de dinheiro do condomínio obviamente incide sobre o valor das contribuições. - Esta Câmara já teve oportunidade de decidir a respeito quando do julgamento do Agravo de Instrumento nº 4.324/2001, em 17-10-2001, sendo relator o Desembargador Carlos Ferrari. - No caso particular, sob pena de frustrarem as execuções (da multa e da sentença), é de admitir-se a penhora autorizada do julgador. - À luz das considerações feitas, nega-se provimento ao recurso. Ac. de 09-04-2002 DJ de 13-05-2002 Arquivo do EMFOR, TJRJ/N 6172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admitir-se excepcionalmente a penhora sobre a receita do condomínio se o bem nomeado à penhora não oferece qualquer tipo de liquidez para garantir 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2026-07-27T22:50:19.336Z</dcterms:created>
  <dcterms:modified xsi:type="dcterms:W3CDTF">2026-07-27T22:50:19.336Z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