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ASSALTO A ÔNIBUS</w:t>
      </w:r>
    </w:p>
    <w:p/>
    <w:p>
      <w:r>
        <w:rPr>
          <w:b/>
          <w:bCs/>
        </w:rPr>
        <w:t xml:space="preserve">Recurso: </w:t>
      </w:r>
      <w:r>
        <w:t xml:space="preserve">Agravo de Instrumento 4.324/2001</w:t>
      </w:r>
    </w:p>
    <w:p/>
    <w:p>
      <w:r>
        <w:t xml:space="preserve">INCIDÊNCIA SOBRE A RECEITA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caso foi indicado à penhora um elevador que os agravantes dizem ter mais de 50 anos, além de que a nomeação não obedeceu ao prescrito no artigo 656 do Código de Processo Civil, em especial o inciso VI, sendo certo que não houve concordância dos credores. - A penhora de dinheiro do condomínio obviamente incide sobre o valor das contribuições. - Esta Câmara já teve oportunidade de decidir a respeito quando do julgamento do Agravo de Instrumento nº 4.324/2001, em 17-10-2001, sendo relator o Desembargador Carlos Ferrari. - No caso particular, sob pena de frustrarem as execuções (da multa e da sentença), é de admitir-se a penhora autorizada do julgador. - À luz das considerações feitas, nega-se provimento ao recurso. Ac. de 09-04-2002 DJ de 13-05-2002 Arquivo do EMFOR, TJRJ/N 6172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admitir-se excepcionalmente a penhora sobre a receita do condomínio se o bem nomeado à penhora não oferece qualquer tipo de liquidez para garantir 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2026-10-26T03:06:03.441Z</dcterms:created>
  <dcterms:modified xsi:type="dcterms:W3CDTF">2026-10-26T03:06:03.441Z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