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/>
    <w:p>
      <w:r>
        <w:t xml:space="preserve">NOMEAÇÃO — RECUSA DO CREDOR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Discute-se, no presente recurso, a eficácia da nomeação de bens a penhora feita pelo devedor, um condomínio horizontal, que pretendeu recaísse a garantia sobre um dos elevadores instalados no edifício. - O credor recusou a oferta, invocando a ordem legal do artigo 655 do Código de Processo Civil, e indicou, de início, a constrição judicial, o dinheiro depositado na conta corrente do executado, medida parcialmente acolhida pela decisão agravada que, afinal, penhorou percentual da renda mensal do condomínio. - Esta egrégia Câmara tem entendido, com freqüência, que a vocação contida no citado dispositivo legal deve ser observada preferencialmente, mas também tem estabelecido que sua incidência não é de valor absoluto e deve ser harmonizada com o princípio da economia da execução, previsto no artigo 620 do Código de Processo Civil e que determina se proceda a ela pela via menos gravosa para o executado. - Penso, pois, que é sob esta perspectiva que se deve resolver a controvérsia instaurada no presente recurso, lembrando que o condomínio não produz nem aufere renda senão que sua arrecadação periódica, a qual, como corretamente destacou o agravante, deriva de obrigação "propter rem", se destina ao custeio das despesas com a administração da "res communis". - Sob este prisma, a decisão agravada embaraça seriamente o trato da gerência da coisa comum, na medida em que, subtraída parcela significativa do rateio condominial para satisfação da penhora, se torna difícil o atendimento das obrigações do condomínio com seus empregados, fornecedores e prestadores de serviços, inclusive no que tange à quitação das tarifas de serviços públicos. - A meu aviso, pois, a decisão recorrida fere o princípio da economia do processo de execução, haja vista que, havendo diversas formas de se proceder à garantia do juízo, se escolheu a mais onerosa para o devedor. - De outro lado, não pode o credor se sujeitar a uma penhora que recaia sobre bem de difícil liquidação, comprometendo de forma definitiva a garantia de seu direito de crédito. - É o que ocorre no caso vertente, uma vez que o agravante nomeou à penhora um dos elevadores do prédio, já com dezenove anos de uso (fls.), bem de difícil, para não dizer impossível, comercialização, assistindo razão à recusa do exeqüente já que o executado dispõe de outros meios para garantir a execução. - A meu ver, a proposta inicial do agravado era a mais adequada, fazendo recair a penhora sobre a verba em depósito no fundo de reserva e que, por não se destinar ao custeio das obrigações ordinárias do condomínio, pode, sem embaraços a sua administração, servir à garantia da execução. - À conta de tais considerações, meu voto é no sentido de se dar provimento ao recurso, a fim de que, cassada a decisão recorrida, outra se profira, fazendo incidir a penhora sobre depósitos do fundo de reserva ou, se não os existirem, sobre outro bem que seja nomeado pelo credor. Ac. de 23-11-1999 Processo 1999.002.09353 Folhas: 00432/00437 Registrado em 14/01/2000 Arquivo do EMFOR, TJRJ/N 6175 EMENTÁRIO FORENSE. Dezembro, 2004. Ano LVI.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vocação prescrita no artigo 655 do CPC deve ser preferencialmente observada pelo devedor, mas não é ela de rigor absoluto e a realização da penhora deve levar em conta o princípio da economia da execução, inscrito no artigo 620 do CPC. Desta forma, é incabível a penhora de parte da arrecadação mensal do condomínio, uma vez que, comprometendo o atendimento dos compromissos condominiais, embaraça a administração da coisa comum, onerando-se sobre maneira o devedor. - Não está o credor obrigado, entretanto, a aceitar recaia a penhora sobre bem de difícil comercialização, sob pena de comprometimento da garantia de seu direito de crédito. - Decisão agravada que se cassa para que a penhora incida sobre outro bem indicado pelo credor.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2026-07-28T04:20:08.698Z</dcterms:created>
  <dcterms:modified xsi:type="dcterms:W3CDTF">2026-07-28T04:20:08.698Z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