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DECRETO 4.537 DE 20-12-2002</w:t>
      </w:r>
    </w:p>
    <w:p/>
    <w:p/>
    <w:p>
      <w:r>
        <w:t xml:space="preserve">MERCADO FINANCEIRO E DE CAPITAIS — TRIBUTAÇÃO - ALTERA</w:t>
      </w:r>
    </w:p>
    <w:p/>
    <w:p>
      <w:pPr>
        <w:pStyle w:val="Heading2"/>
      </w:pPr>
      <w:r>
        <w:rPr>
          <w:b/>
          <w:bCs/>
        </w:rPr>
        <w:t xml:space="preserve">Ementa</w:t>
      </w:r>
    </w:p>
    <w:p>
      <w:r>
        <w:t xml:space="preserve">LEI Nº 11.033, DE 21 DE DEZEMBRO DE 2004 Altera a tributação do mercado financeiro e de capitais; institui o Regime Tributário para Incentivo à Modernização e à Ampliação da Estrutura Portuária - REPORTO; altera as Leis nos 10.865, de 30 de abril de 2004, 8.850, de 28 de janeiro de 1994, 8.383, de 30 de dezembro de 1991, 10.522, de 19 de julho de 2002, 9.430, de 27 de dezembro de 1996, e 10.925, de 23 de julho de 2004; e dá outras providências. O PRESIDENTE DA REPÚBLICA Faço saber que o Congresso Nacional decreta e eu sanciono a seguinte Lei: Art. 1º Os rendimentos de que trata o art. 5º da Lei nº 9.779, de 19 de janeiro de 1999, relativamente às aplicações e operações realizadas a partir de 1º de janeiro de 2005, sujeitam-se à incidência do imposto de renda na fonte, às seguintes alíquotas: I - 22,5% (vinte e dois inteiros e cinco décimos por cento), em aplicações com prazo de até 180 (cento e oitenta) dias; II - 20% (vinte por cento), em aplicações com prazo de 181 (cento e oitenta e um) dias até 360 (trezentos e sessenta) dias; III - 17,5% (dezessete inteiros e cinco décimos por cento), em aplicações com prazo de 361 (trezentos e sessenta e um) dias até 720 (setecentos e vinte) dias; IV - 15% (quinze por cento), em aplicações com prazo acima de 720 (setecentos e vinte) dias. § 1º No caso de aplicações existentes em 31 de dezembro de 2004: I - os rendimentos produzidos até essa data serão tributados nos termos da legislação então vigente; II - em relação aos rendimentos produzidos em 2005, os prazos a que se referem os incisos I a IV do caput deste artigo serão contados a partir: a) de 1º de julho de 2004, no caso de aplicação efetuada até a data da publicação desta Lei; e b) da data da aplicação, no caso de aplicação efetuada após a data da publicação desta Lei. § 2º No caso dos fundos de investi mentos, será observado o seguinte: I - os rendimentos serão tributados semestralmente, com base no art. 3º da Lei nº 10.892, de 13 de julho de 2004, à alíquota de 15% (quinze por cento), sem prejuízo do disposto no inciso III deste parágrafo; II - na hipótese de fundos de investimentos com prazo de carência de até 90 (noventa) dias para resgate de quotas com rendimento, a incidência do imposto de renda na fonte a que se refere o inciso I deste parágrafo ocorrerá na data em que se completar cada período de carência para resgate de quotas com rendimento, sem prejuízo do disposto no inciso III deste parágrafo; III - por ocasião do resgate das quotas, será aplicada alíquota complementar de acordo com o previsto nos incisos I a IV do caput deste artigo. § 3º O disposto neste artigo não se aplica: I - aos fundos e clubes de investimento em ações cujos rendimentos serão tributados exclusivamente no resgate das quotas, à alíquota de 15% (quinze por cento); II - aos títulos de capitalização, no caso de resgate sem ocorrência de sorteio, cujos rendimentos serão tributados à alíquota de 20% (vinte por cento). § 4º Ao fundo ou clube de investimento em ações cuja carteira deixar de observar a proporção referida no art. 2º da Medida Provisória nº 2.189-49, de 23 de agosto de 2001, aplicar-se-á o disposto no caput e nos §§ 1º e 2º deste artigo, a partir do momento do desenquadramento da carteira, salvo no caso de, cumulativamente, a referida proporção não ultrapassar o limite de 50% (cinqüenta por cento) do total da carteira, a situação for regularizada no prazo máximo de 30 (trinta) dias e o fundo ou clube não incorrer em nova hipótese de desenquadramento no período de 12 (doze) meses subseqüentes. § 5º Consideram-se incluídos entre os rendimentos referidos pelo art. 5º da Lei nº 9.779, de 19 de janeiro de 1999, os predeterminados obtidos em operações conjugadas, realizadas nos mer cados de opções de compra e de venda em bolsas de valores, de mercadorias e de futuros (box), no mercado a termo nas bolsas de valores, de mercadorias e de futuros, em operações de venda coberta e sem ajustes diários, e no mercado de balcão. § 6º As operações descritas no § 5º deste artigo, realizadas por fundo ou clube de investimento em ações, não integrarão a parcela da carteira aplicada em ações, para efeito da proporção referida no § 4º deste artigo. § 7º O Ministro da Fazenda poderá elevar e restabelecer o percentual a que se refere o art. 2º da Medida Provisória nº 2.189-49, de 23 de agosto de 2001. Art. 2º O disposto no art. 1º desta Lei não se aplica aos ganhos líquidos auferidos em operações realizadas em bolsas de valores, de mercadorias, de futur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2026-06-17T18:00:59.639Z</dcterms:created>
  <dcterms:modified xsi:type="dcterms:W3CDTF">2026-06-17T18:00:59.639Z</dcterms:modified>
</cp:coreProperties>
</file>

<file path=docProps/custom.xml><?xml version="1.0" encoding="utf-8"?>
<Properties xmlns="http://schemas.openxmlformats.org/officeDocument/2006/custom-properties" xmlns:vt="http://schemas.openxmlformats.org/officeDocument/2006/docPropsVTypes"/>
</file>