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/>
    <w:p>
      <w:r>
        <w:t xml:space="preserve">HONORÁRIOS ADVOCATÍCIOS — ENTREGA DAS CHAVES - LEVANTAMENTO DE CAUÇÃO - DESOCUPAÇÃO - PERDA DO OBJETO DA AÇÃO - PROSSEGUIMENTO DA AÇÃO - CUSTAS PROCESSUAIS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por seu advogado infra-firmado, nos Autos de DESPEJO protocolado sob nº ...., em trâmite nesse R. Juízo, movido em face de ...., vem, mui respeitosamente, à presença de Vossa Excelência, diante do despacho de fls. ...., dizer e requerer o seguinte: Tendo em vista a entrega das chaves, requerer o levantamento das mesmas. Diante da contestação, apresenta impugnação pelos seguintes fundamentos: Diz a Ré, que pretendia desocupar o imóvel na data marcada e aprazada pelo acordo entre ambos, ou, em .... Entretanto, vencido o prazo da desocupação, confirmado pelo acordo de fls. ...., a Ré não manifestou intenção de desocupar, ao contrário do que alegou na contestação, vinha solicitando a benevolência do autor, porque pretendia continuar no imóvel indeterminadamente. O Autor, diante do acordo firmado, realizou vários negócios, objetivamente em relação ao próprio imóvel locado, razão porque não pretendia alongar mais a relação locatícia. Contudo, a Ré, por mais de .... dias de atraso, já demonstrara seu propósito, razão porque ensejou a propositura da presente medida judicial do despejo, mesmo porque a permanência por maior prazo, poderia ensejar ainda concordância tácita, o que não era intenção do Autor. Portanto, constata-se o contrário do que alega a Ré, que não pretendia desocupar o imóvel, pois somente o fez, diante da presente medida, ou seja, após .... meses. DESOCUPAÇÃO DO IMÓVEL Diante da entrega das chaves do imóvel objeto desta ação judicial de despejo, a Ré se torna confessa pela total procedência do pedido. Desse modo, sem objeto o despejo, a ação deverá prosseguir em relação aos consectários legais de custas processuais e honorários advocatícios. Assim sendo, requer a condenação da Ré, aos pagamentos de custas processuais e honorários, na forma da lei. Requer ainda se digne determinar o levantamento da importância depositada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2026-07-28T06:54:48.066Z</dcterms:created>
  <dcterms:modified xsi:type="dcterms:W3CDTF">2026-07-28T06:54:48.066Z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