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CARTÓRIO DE REGISTROS PÚBLICOS</w:t>
      </w:r>
    </w:p>
    <w:p>
      <w:r>
        <w:rPr>
          <w:i/>
          <w:iCs/>
          <w:color w:val="666666"/>
        </w:rPr>
        <w:t xml:space="preserve">PERSONALIDADE JURÍDICA</w:t>
      </w:r>
    </w:p>
    <w:p/>
    <w:p>
      <w:r>
        <w:rPr>
          <w:b/>
          <w:bCs/>
        </w:rPr>
        <w:t xml:space="preserve">Recurso: </w:t>
      </w:r>
      <w:r>
        <w:t xml:space="preserve">RE 88.288-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Adroaldo Furtado Fabrício</w:t>
      </w:r>
    </w:p>
    <w:p/>
    <w:p>
      <w:r>
        <w:t xml:space="preserve">ART. 522/CPC — AUSÊNCIA DE PROCURAÇÃO - DESPEJO - PUBLICAÇÃO DE SENTENÇA - FALTA DE INTIMAÇÃO - AGRAVO DE INSTRUMENTO - RECURSO DENEGADO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Autos nº .... Agravante: .... Agravada: .... RAZÕES DE AGRAVO DE INSTRUMENTO I - EXPOSIÇÃO DO FATO E DO DIREITO Encontra-se em trâmite perante o douto Juízo Cível da Comarca de ...., os autos nº ...., de AÇÃO DE DESPEJO, promovida pela agravada contra o ora agravante, em face de que a anterior Ação Renovatória de Locação, foi julgada improcedente, inclusive em segundo grau. Tempestivamente, o agravante contestou a Ação de Despejo, levantando preliminar de ilegitimidade ativa "ad causam", face a condição de inventariante ostentada pela agravada na propositura do feito, bem como, no mérito, a manutenção do contrato de locação na sua forma verbal, até .... Tendo em vista a urgência da medida, foi pleiteada a juntada posterior do instrumento de procuração, o qual, se encontrava instruindo a Ação Renovatória de Locação, entre as mesmas partes. Às fls. .../..., o MM. Juiz "a quo", proferiu sentença reconhecendo a revelia do agravante, por não ter juntado o instrumento de procuração no prazo hábil, julgando por conseqüência procedente o pedido inicial, e decretando o despejo e fixando em .... meses de aluguel a caução para execução provisória. Às fls. ...., pela Escrivania Cível foi certificado a publicação da sentença pelo Diário de Justiça, aprazando oportunidade para o manejo de eventual recurso apelatório. Contudo, nesta certidão não foram intimados os procuradores do agravante, de maneira que transitou em julgado a mesma. Através do petitório de fls. ...., a agravada pleiteou a execução da sentença, o que foi deferido pelo MM. Juiz "a quo". Aos dias .... de .... do corrente ano, o agravante foi notificado pessoalmente para no prazo de .... dias desocupar o imóvel sob pena de despejo (fls. .... e verso). Diante de tal fato, e sendo a primeira oportunidade em que o agravante teve conhecimento da sentença que lhe era desfavorável, ingressou com o tempestivo recurso de Apelação (fls. .../...), devidamente preparado, plei teando o seu recebimento pelo magistrado "a quo". Às fls. 52, houve decisão denegatória do Juízo Monocrático, cuja reforma ora se persegue, vazada nos seguintes termos: "I - A intimação foi perfeita, visto que o requerido não apresentou o instrumento de procuração com a autorização para contestar. Agora, passado muito tempo, quer o mesmo juntar a procuração e considerar nulo tudo o que processualmente foi feito. Assim, surge uma simples indagação, ou seja, qual o motivo que levou a parte a manter-se inerte e, diria, displicente com suas obrigações? Não, ninguém pode beneficiar-se da própria torpeza. Deve, entendo, ser o magistrado rigoroso na busca da lealdade processual. Desta forma, deixo de receber o recurso por ser intempestivo. Intimem-se. Cianorte, segunda-feira, 16 de junho de 1997. (a) Willian Artur Pussi - Juiz de Direito." Diante disso, a agravada requereu a efetivação do despejo coercitivo, o que foi deferido pelo Juiz "a quo", estando o processo em vias de ser expedido o mandado. De curial relevo ressaltar, que desta decisão denegatória do recurso apelatório, os procuradores do agravante só tiveram conhecimento em .../.../..., consoante dessume-se às fls. ...., verso. Estes são os fatos que, no seu âmago, trazem ofensa ao direito do agravante, de ter o seu recurso apelatório submetido à análise da Instância Superior, vez que, tempestivo, consoante restará demonstrado "quantum satis" a seguir. II - RAZÕES DE REFORMA DA DECISÃO RECORRIDA A) DA INOCORRÊNCIA DA REVELIA Probos Julgadores, a sentença de fls. .../..., foi infeliz em seus termos, ao decretar a revelia do agravante, vez que deixou de aplicar o melhor direito à espécie, agasalhando nulidade que a imprestabiliza ao fim colimado, senão vejamos: É cediço que a decretação da revelia, face a ausência de procuração acompanhando a peça contestatória, depende de expressa intimação para o saneamento da irregularidade processual, sem o que não há se falar e m ato inexistente e revelia. "Constatando-se defeito de 'legitimatio ad processum', como no caso de não estar nos autos o instrumento de mandato conferido ao advogado que postula pelo interessado, não cabe, desde logo, repelir essa atuação, mas sim oportunizar a regularização em prazo razoável, na forma e sob as cominações do art. 13 do CPC." (Ac. unân. da 2ª Câm. do TARS, na Apel. nº 28.357, Rel. Juiz Adroaldo Furtado Fabrício, in JTARS 45/273) "Se é certo que o advogado não será admitido a procurar em juízo sem instrumento de mandato não é menos exato que, com a inovação introduzida pelo art.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2026-09-11T00:11:53.146Z</dcterms:created>
  <dcterms:modified xsi:type="dcterms:W3CDTF">2026-09-11T00:11:53.146Z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