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PETIÇÃO (MOD) FAMÍLIA</w:t>
      </w:r>
    </w:p>
    <w:p>
      <w:r>
        <w:rPr>
          <w:i/>
          <w:iCs/>
          <w:color w:val="666666"/>
        </w:rPr>
        <w:t xml:space="preserve">MEDIDA CAUTELAR INOMINADA</w:t>
      </w:r>
    </w:p>
    <w:p/>
    <w:p/>
    <w:p>
      <w:r>
        <w:t xml:space="preserve">DISSOLUÇÃO DE UNIÃO ESTÁVEL — PARTILHA DE BENS E GUARDA  DE MENOR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DOUTOR JUIZ DE DIREITO DA VARA DE FAMÍLIA ... ..., brasileira, companheira, do lar, portadora da Cédula de Identidade RG n.º ... devidamente inscrita no CPF/MF sob o n.º ..., e ..., Italiano, comerciante, companheiro, portador da Cédula de Identidade RG ..., devidamente inscrito no CPF/MF sob o n.º ..., ambos residentes e domiciliados na Rua ..., Jardim ..., nesta cidade e Comarca de ..., Estado do ..., por seus respectivos advogados que ao final assinam, vêm à presença de Vossa Excelência, com o respeito devido propor conjunta e consensualmente, o presente:PEDIDO DE RECONHECIMENTO DE UNIÃO ESTÁVEL cumulado com DISSOLUÇÃO DA MESMA e por conseqüência, DIVISÃO DOS BENS COMUNS e DEFINIÇÃO DE GUARDA DE MENORES, tendo em vista os seguintes fatos ocorridos, amparados pelos fundamentos à seguir: I - DOS FATOS QUE MOTIVAM O PEDIDO. Requerentes viveram sob o mesmo teto, como se marido e mulher fossem. Durante a constância desta união de fato, tiveram filhos, construíram patrimônio. Uma extensa gama de fatos (aqui não cabendo discutir), geraram a discórdia dos entes, fazendo com que, ambos viessem ao Estado enquanto juiz, requerer o reconhecimento e a dissolução desta sociedade, mediante uma sentença homologatória. 1 - Reconhecimento da união estável Os Requerentes viveram como se casados fossem por cerca de ... anos, mantendo residência, ora no Estado e Cidade Deste relacionamento nasceram dois filhos, o primeiro ..., em ... , e o segundo ..., nascido em ... ; conforme atestam as certidões em anexo. Ao longo do Relacionamento, o casal amealhou bens que constituem o patrimônio comum de ambos, sendo que os bens foram sendo registrados em nome, ora da requerente, ora do Requerido ou ainda em nome dos menores; conforme evidencia-se pelos documentos em anexo. O casal viveu, portanto, como se casados fossem. Construíram patrimônio, tiveram filhos, viveram sob o mesmo teto, cumpriram aqueles deveres recíprocos in erentes a condição de casados. Viviam pois, imprimindo a sociedade e ao derredor dos conviventes, a precisa sensação de que constituíam uma nítida família conjugal, pois organizada nos moldes do casamento tradicional, apenas que subtraída da prévia formalidade de sua pública celebração , e por este fato, merecem ver reconhecida por sentença a sociedade havida, o que se requer. 2 - dissolução da sociedade - fatos que a motivam. Há cerca de 2 anos, logo após o nascimento do segundo filho do casal, o relacionamento entre ambos começou a ficar insuportável. Brigas e discussões tornaram-se freqüentes. Essa teia que desarma o sistema emotivo dos cônjuges, fez a Requerente mudar do ...para..., trazendo consigo os dois filhos do casal. Ocorreu que... meses atrás, o requerente veio à esta cidade a procura da companheira, afim de uma tentativa de reconciliação, o que restou frutífera após a requerente ouvir de seu companheiro a promessa de mudança de comportamento, tendo então o casal unido-se por mais uma vez. No inicio, o relacionamento mantinha-se estável e amigável, sem aquelas brigas e discussões que motivaram a primeira separação. Contudo, recentemente a convivência foi tornada insuportável, fato que faz com que os requerentes resolvam por fim a sociedade até aqui existente. Se o texto constitucional passou a identificar nestes pares companheiros uma legítima entidade familiar (art. 226,§ 3º), e se desta relação sobreveio filhos e formação de patrimônio, somente por sentença, mesmo que homologatória, poderá a sociedade ser separada de forma que os pares não possam mais discutir aquilo que ficar resolvido e homologado por este ínclito juízo. A Constituição Federal em seu artigo 226, reconhece a união estável, dando-lhe todo o abrigo tal qual às uniões legais e devidamente constituídas, sendo hoje pacífico na jurisprudência, conforme entendimento sumulado, Súmula 380 do Supremo Tribunal Federal, que, comprovada a existência de sociedade de f ato entre os companheiros, é cabível a dissolução judicial com a partilha do patrimônio adquirido pelo esforço comum, temos ainda a Lei nº 8.971/94 que regula o direito dos companheiros à alimentos e até mesmo à sucessão bem como a Lei nº 9.278, de 10.05.1996, que regula o parágrafo terceiro do artigo 226 da Constituição Federal, leis essas que oferecem todo o amparo legal a união estável e aos direitos dos companheiros. Buscando esta segurança jurídica, as partes requerem, em decorrência da impossibilidade de convívio sob o mesmo teto, a dissolução dessa sociedade de fa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2026-09-11T00:11:19.789Z</dcterms:created>
  <dcterms:modified xsi:type="dcterms:W3CDTF">2026-09-11T00:11:19.789Z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