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CAUTELAR INOMINADA</w:t>
      </w:r>
    </w:p>
    <w:p/>
    <w:p/>
    <w:p>
      <w:r>
        <w:t xml:space="preserve">DISSOLUÇÃO DE UNIÃO ESTÁVEL — PARTILHA DE BENS E GUARDA  DE MENOR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DE FAMÍLIA ... ..., brasileira, companheira, do lar, portadora da Cédula de Identidade RG n.º ... devidamente inscrita no CPF/MF sob o n.º ..., e ..., Italiano, comerciante, companheiro, portador da Cédula de Identidade RG ..., devidamente inscrito no CPF/MF sob o n.º ..., ambos residentes e domiciliados na Rua ..., Jardim ..., nesta cidade e Comarca de ..., Estado do ..., por seus respectivos advogados que ao final assinam, vêm à presença de Vossa Excelência, com o respeito devido propor conjunta e consensualmente, o presente:PEDIDO DE RECONHECIMENTO DE UNIÃO ESTÁVEL cumulado com DISSOLUÇÃO DA MESMA e por conseqüência, DIVISÃO DOS BENS COMUNS e DEFINIÇÃO DE GUARDA DE MENORES, tendo em vista os seguintes fatos ocorridos, amparados pelos fundamentos à seguir: I - DOS FATOS QUE MOTIVAM O PEDIDO. Requerentes viveram sob o mesmo teto, como se marido e mulher fossem. Durante a constância desta união de fato, tiveram filhos, construíram patrimônio. Uma extensa gama de fatos (aqui não cabendo discutir), geraram a discórdia dos entes, fazendo com que, ambos viessem ao Estado enquanto juiz, requerer o reconhecimento e a dissolução desta sociedade, mediante uma sentença homologatória. 1 - Reconhecimento da união estável Os Requerentes viveram como se casados fossem por cerca de ... anos, mantendo residência, ora no Estado e Cidade Deste relacionamento nasceram dois filhos, o primeiro ..., em ... , e o segundo ..., nascido em ... ; conforme atestam as certidões em anexo. Ao longo do Relacionamento, o casal amealhou bens que constituem o patrimônio comum de ambos, sendo que os bens foram sendo registrados em nome, ora da requerente, ora do Requerido ou ainda em nome dos menores; conforme evidencia-se pelos documentos em anexo. O casal viveu, portanto, como se casados fossem. Construíram patrimônio, tiveram filhos, viveram sob o mesmo teto, cumpriram aqueles deveres recíprocos in erentes a condição de casados. Viviam pois, imprimindo a sociedade e ao derredor dos conviventes, a precisa sensação de que constituíam uma nítida família conjugal, pois organizada nos moldes do casamento tradicional, apenas que subtraída da prévia formalidade de sua pública celebração , e por este fato, merecem ver reconhecida por sentença a sociedade havida, o que se requer. 2 - dissolução da sociedade - fatos que a motivam. Há cerca de 2 anos, logo após o nascimento do segundo filho do casal, o relacionamento entre ambos começou a ficar insuportável. Brigas e discussões tornaram-se freqüentes. Essa teia que desarma o sistema emotivo dos cônjuges, fez a Requerente mudar do ...para..., trazendo consigo os dois filhos do casal. Ocorreu que... meses atrás, o requerente veio à esta cidade a procura da companheira, afim de uma tentativa de reconciliação, o que restou frutífera após a requerente ouvir de seu companheiro a promessa de mudança de comportamento, tendo então o casal unido-se por mais uma vez. No inicio, o relacionamento mantinha-se estável e amigável, sem aquelas brigas e discussões que motivaram a primeira separação. Contudo, recentemente a convivência foi tornada insuportável, fato que faz com que os requerentes resolvam por fim a sociedade até aqui existente. Se o texto constitucional passou a identificar nestes pares companheiros uma legítima entidade familiar (art. 226,§ 3º), e se desta relação sobreveio filhos e formação de patrimônio, somente por sentença, mesmo que homologatória, poderá a sociedade ser separada de forma que os pares não possam mais discutir aquilo que ficar resolvido e homologado por este ínclito juízo. A Constituição Federal em seu artigo 226, reconhece a união estável, dando-lhe todo o abrigo tal qual às uniões legais e devidamente constituídas, sendo hoje pacífico na jurisprudência, conforme entendimento sumulado, Súmula 380 do Supremo Tribunal Federal, que, comprovada a existência de sociedade de f ato entre os companheiros, é cabível a dissolução judicial com a partilha do patrimônio adquirido pelo esforço comum, temos ainda a Lei nº 8.971/94 que regula o direito dos companheiros à alimentos e até mesmo à sucessão bem como a Lei nº 9.278, de 10.05.1996, que regula o parágrafo terceiro do artigo 226 da Constituição Federal, leis essas que oferecem todo o amparo legal a união estável e aos direitos dos companheiros. Buscando esta segurança jurídica, as partes requerem, em decorrência da impossibilidade de convívio sob o mesmo teto, a dissolução dessa sociedade de fa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2026-06-17T14:05:29.235Z</dcterms:created>
  <dcterms:modified xsi:type="dcterms:W3CDTF">2026-06-17T14:05:29.235Z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