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Ap. 32.044</w:t>
      </w:r>
    </w:p>
    <w:p>
      <w:r>
        <w:rPr>
          <w:b/>
          <w:bCs/>
        </w:rPr>
        <w:t xml:space="preserve">Relator: </w:t>
      </w:r>
      <w:r>
        <w:t xml:space="preserve">Xavier Vieira</w:t>
      </w:r>
    </w:p>
    <w:p/>
    <w:p>
      <w:r>
        <w:t xml:space="preserve">SEPARAÇÃO JUDICIAL — MENOR - VISITAÇÃO - PENSÃO ALIMENTÍCIA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DE FAMÍLIA DA COMARCA DE .............. .................., brasileiro, solteiro, foto-paginador, residente e domiciliado na Av. ............., nº ..., ......., .., vem, com fulcro no artigo 15 da Lei 6515 c/c artigos 796 e segs. Do CPC, propor MEDIDA CAUTELAR DE VISITAÇÃO em face de .........................., brasileira, solteira, residente e domiciliada na Praia ........., nº .........., .., pelos fatos e fundamentos que passa a expor. Em .. de .... de ...., o Juízo da .. Vara de Família desta comarca, estipulou uma pensão alimentícia, para a menor ........................, filha do ora autor com a ré, na base de 25% de seus vencimentos, conforme documento anexo. Entretanto, nesta referida ação, não foi deslumbrado o direito de visita do autor, visto que, este direito, ocorria normalmente, sem nenhum impedimento. Ocorre que ultimamente, a ré, vem afastando a menor do convívio com o pai, ou seja, o requerente vem sendo sistematicamente impedido de visitar sua filha. Ressalte-se, por relevante, que o distanciamento imposto poderá acarretar graves danos psicológicos a própria menor. Vale destacar o entendimento já firmado por nossos Tribunais, "mutatis mutantis", aplicável à espécie: "O direito de visita, segundo a melhor exegese do art. 15 da Lei do Divórcio, visa a preservação do afeto resultante do vínculo da paternidade. Da parte do pai, ou da mãe, em cuja guarda não estejam os filhos, tem o sentido maior de dever. Dentre as necessidades fundamentais do ser humano, no alvorecer de sua existência, avultam a necessidade de amor e de segurança afetiva. Equivocam-se, desafortunadamente, os pais, quando colocam em primeiro plano o seu direito, antepondo-o ao dos filhos, eis que são estes os detentores dessa primazia. Ao regulamentar as visitas o juiz deve estar atento aos superiores interesses das crianças pertencentes a famílias monoparentais. Em casos excepcionais, e só nesses, as visitas podem ser suspensas, quando comprovadamente nocivas à saúde física e mental dos visitados. Afora isso, qualquer frustração do intercâmbio afetivo é prejudicial ao educante." (Ac. Unânime da 2ª Câm. Do TJSC, na Ap. nº 32.044, julgada em 19.12.89 - Relator: Des. Xavier Vieira; JC, vol. 65,p.152.) Assim sendo, demonstrados os requisitos pertinentes a tutela cautelar do "fumus boni iuris" e o "periculum in mora", requer a V.Exa. seja concedida a medida cautelar, para o fim de que possa o Requerente exercer o direito de visitação, na seguinte forma: · Nos fins de semana alternados, irá retirar a menor no sábado às ....h. com a devolução às .....h. do domingo; · No dia dos pais e no dia das mães, a menor ficará sob a responsabilidade do pai ou a mãe quando for seu respectivo dia; · No Natal e no Ano Novo alternadamente, a menor ficará sob a responsabilidade da mãe no Natal, e no Ano Novo do pai; · Nas férias, a menor alternará, onde as primeiras férias de janeiro/fevereiro de ......, ficará com a responsabilidade do pai e as férias de ....../...... com a mãe, sendo certo que, no próximo ano, de ......., existirá uma troca, ou seja, a mãe ficará com a posse da menor nas férias de janeiro/fevereiro e o pai com julho/agosto, e assim por diante; · No aniversário da menor, de .....h até às ......., ficará com o pai e depois com a mãe, sendo certo que, no próximo aniversário isto se inverterá. Requer, ainda, seja a medida concedida LIMINARMENTE e inaudita altera pars, conforme o preceituado no artigo 804, do diploma processual civil, com a posterior citação da Requerida, para, querendo, responder o presente pedido, que deverá ao final ser julgado procedente para determinar a visitação do Requerente à menor ................ Nestas circunstâncias, indica prova testemunhal e depoimento pessoal da Requerida, sob pena de confissão. Indica para fins do artigo 39, I do CPC o seguinte endereço:Av. .........., nº ......., sala ........, ...... Dá a causa o valo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2026-10-26T05:06:09.287Z</dcterms:created>
  <dcterms:modified xsi:type="dcterms:W3CDTF">2026-10-26T05:06:09.287Z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