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Recurso: </w:t>
      </w:r>
      <w:r>
        <w:t xml:space="preserve">Ap. 32.044</w:t>
      </w:r>
    </w:p>
    <w:p>
      <w:r>
        <w:rPr>
          <w:b/>
          <w:bCs/>
        </w:rPr>
        <w:t xml:space="preserve">Relator: </w:t>
      </w:r>
      <w:r>
        <w:t xml:space="preserve">Xavier Vieira</w:t>
      </w:r>
    </w:p>
    <w:p/>
    <w:p>
      <w:r>
        <w:t xml:space="preserve">SEPARAÇÃO JUDICIAL — MENOR - VISITAÇÃO - PENSÃO ALIMENTÍCIA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DE FAMÍLIA DA COMARCA DE .............. .................., brasileiro, solteiro, foto-paginador, residente e domiciliado na Av. ............., nº ..., ......., .., vem, com fulcro no artigo 15 da Lei 6515 c/c artigos 796 e segs. Do CPC, propor MEDIDA CAUTELAR DE VISITAÇÃO em face de .........................., brasileira, solteira, residente e domiciliada na Praia ........., nº .........., .., pelos fatos e fundamentos que passa a expor. Em .. de .... de ...., o Juízo da .. Vara de Família desta comarca, estipulou uma pensão alimentícia, para a menor ........................, filha do ora autor com a ré, na base de 25% de seus vencimentos, conforme documento anexo. Entretanto, nesta referida ação, não foi deslumbrado o direito de visita do autor, visto que, este direito, ocorria normalmente, sem nenhum impedimento. Ocorre que ultimamente, a ré, vem afastando a menor do convívio com o pai, ou seja, o requerente vem sendo sistematicamente impedido de visitar sua filha. Ressalte-se, por relevante, que o distanciamento imposto poderá acarretar graves danos psicológicos a própria menor. Vale destacar o entendimento já firmado por nossos Tribunais, "mutatis mutantis", aplicável à espécie: "O direito de visita, segundo a melhor exegese do art. 15 da Lei do Divórcio, visa a preservação do afeto resultante do vínculo da paternidade. Da parte do pai, ou da mãe, em cuja guarda não estejam os filhos, tem o sentido maior de dever. Dentre as necessidades fundamentais do ser humano, no alvorecer de sua existência, avultam a necessidade de amor e de segurança afetiva. Equivocam-se, desafortunadamente, os pais, quando colocam em primeiro plano o seu direito, antepondo-o ao dos filhos, eis que são estes os detentores dessa primazia. Ao regulamentar as visitas o juiz deve estar atento aos superiores interesses das crianças pertencentes a famílias monoparentais. Em casos excepcionais, e só nesses, as visitas podem ser suspensas, quando comprovadamente nocivas à saúde física e mental dos visitados. Afora isso, qualquer frustração do intercâmbio afetivo é prejudicial ao educante." (Ac. Unânime da 2ª Câm. Do TJSC, na Ap. nº 32.044, julgada em 19.12.89 - Relator: Des. Xavier Vieira; JC, vol. 65,p.152.) Assim sendo, demonstrados os requisitos pertinentes a tutela cautelar do "fumus boni iuris" e o "periculum in mora", requer a V.Exa. seja concedida a medida cautelar, para o fim de que possa o Requerente exercer o direito de visitação, na seguinte forma: · Nos fins de semana alternados, irá retirar a menor no sábado às ....h. com a devolução às .....h. do domingo; · No dia dos pais e no dia das mães, a menor ficará sob a responsabilidade do pai ou a mãe quando for seu respectivo dia; · No Natal e no Ano Novo alternadamente, a menor ficará sob a responsabilidade da mãe no Natal, e no Ano Novo do pai; · Nas férias, a menor alternará, onde as primeiras férias de janeiro/fevereiro de ......, ficará com a responsabilidade do pai e as férias de ....../...... com a mãe, sendo certo que, no próximo ano, de ......., existirá uma troca, ou seja, a mãe ficará com a posse da menor nas férias de janeiro/fevereiro e o pai com julho/agosto, e assim por diante; · No aniversário da menor, de .....h até às ......., ficará com o pai e depois com a mãe, sendo certo que, no próximo aniversário isto se inverterá. Requer, ainda, seja a medida concedida LIMINARMENTE e inaudita altera pars, conforme o preceituado no artigo 804, do diploma processual civil, com a posterior citação da Requerida, para, querendo, responder o presente pedido, que deverá ao final ser julgado procedente para determinar a visitação do Requerente à menor ................ Nestas circunstâncias, indica prova testemunhal e depoimento pessoal da Requerida, sob pena de confissão. Indica para fins do artigo 39, I do CPC o seguinte endereço:Av. .........., nº ......., sala ........, ...... Dá a causa o valo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2026-09-11T01:54:19.636Z</dcterms:created>
  <dcterms:modified xsi:type="dcterms:W3CDTF">2026-09-11T01:54:19.636Z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