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re 1.5.</w:t>
      </w:r>
    </w:p>
    <w:p>
      <w:r>
        <w:rPr>
          <w:b/>
          <w:bCs/>
        </w:rPr>
        <w:t xml:space="preserve">Relator: </w:t>
      </w:r>
      <w:r>
        <w:t xml:space="preserve">Walter Borges Carneiro</w:t>
      </w:r>
    </w:p>
    <w:p/>
    <w:p>
      <w:r>
        <w:t xml:space="preserve">ALIMENTOS — EXECUÇÃO - EMBARGOS - APOSENTADORIA - PENHORA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DA FAMÍLIA DA COMARCA DE ... AUTOS N.º ... ..., brasileira, separada judicialmente, do lar, portadora da Carteira de Identidade n.º ... e inscrita no CPF/MF sob n.º ... e ..., brasileiro, menor púbere, ambos residentes e domiciliados na rua ..., n.º ..., Conjunto ..., ..., Estado do ..., por intermédio de seu procurador abaixo assinado, ..., brasileiro, solteiro, advogado regularmente inscrito na OAB-... sob n.º ..., com escritório profissional na rua ..., n.º ..., nesta Capital, onde recebe intimações e notificações, vêm com o devido respeito e acatamento diante de V. Exa., com fundamento no artigo 740 do Código de Processo Civil, apresentar I M P U G N A Ç Ã O aos Embargos do Devedor, opostos por ..., já qualificado nos autos em epígrafe, passando, para tanto, a expender as seguintes razões de fato e de direito: 1. Preliminarmente - Intempestividade dos Embargos à Execução (CPC - art. 739, inciso I): 1.1. Conforme se vê às fls. ... dos autos, o Embargante assinou Termo de Nomeação de Bem a Penhora em ... de ... de ..., referente a "um freezer vertical, marca ..., capacidade de ... litros". 1.2. Nesta mesma data o devedor foi cientificado da formalização da penhora, portanto, o decêndio legal para a interposição dos embargos expirou em ... de ... 1.3. O Embargante, maliciosamente, tenta reabrir o prazo para oposição dos embargos com base numa segunda penhora, consistente no veículo discriminado no Auto de Penhora e Depósito de fls. ..., verso. 1.4. Saliente-se que, a despeito dos credores terem discordado da nomeação realizada pelo devedor, ... cuja penhora se efetivou pelo termo de fls. ..., ainda se encontra constritado, levando à óbvia constatação de que o ato de constrição do veículo consiste em reforço de penhora. E, neste caso, conforme tranqüila doutrina e jurisprudência, o prazo de embargos não reabre. 1.5. É o que se extrai das decisões abaixo: "EMBARG OS DO DEVEDOR. REALIZAÇÃO DE SEGUNDA PENHORA. PRAZO. A superveniência de um segundo ato de constrição não reabre o prazo para o devedor embargar a execução." (TA/PR - 2ª CC - Ac. 3415 - Apelação Cível n.º 48402-8 - Rel. Juiz Walter Borges Carneiro). "EMBARGOS À EXECUÇÃO - PRAZO - FLUÊNCIA APÓS A JUNTADA DA PROVA DA INTIMAÇÃO DA PRIMEIRA PENHORA - PRAZO QUE NÃO SE REABRE COM A SUBSTITUIÇÃO - INTEMPESTIVIDADE. APELAÇÃO IMPROVIDA. O prazo para a interposição dos embargos à execução flui a partir da juntada aos autos da prova da intimação da primeira penhora, e não da segunda efetivada em substituição ou em ampliação daquela anteriormente feita. Apelação improvida." (TA/PR - 6ª CC - Ac. 5616 - Apelação Cível n.º 93771-3 - Rel. Juiz Antônio Alves do Prado Filho). "EMBARGOS DO DEVEDOR. SEGUNDA PENHORA. INTEMPESTIVIDADE DA DEFESA. O fato de equivocadamente constar do mandado que a execução podia ser embargada, não legitima sua iniciativa. O conteúdo do mandado, que não se harmoniza com a lei, não tem validade nem força para modificá-la. Nos termos do art. 738 do C.P.C., inc. I, o devedor oferecerá embargos no prazo de 10 dias, contados da intimação da penhora. Válida a penhora não se há de reabrir prazo e oportunidade para nova defesa senão da ensejada pela realização do próprio ato. Recurso improvido." (TA/PR - 6ª CC - Ac. 2614 - Apelação Cível n.º 64558-5 - Rel. Juiz Eli de Souza). 2. No Mérito: Não sendo este, entretanto, o entendimento deste r. Juízo, os Embargados, fundados no princípio da eventualidade, passam a deduzir defesa de mérito. 2.1. O Embargante reconhece a condição de devedor a partir de sua aposentadoria, na fração de 1/3 (um terço) dos rendimentos líquidos auferidos mensalmente. Inobstante tal fato, o Embargante tenta justificar o inadimplemento da obrigação na inação dos órgãos pagadores, olvidando que ao alimentante, em tais circunstâncias, como parte interessada, cabe verificar a regularidade dos pagamentos da pensão fixad a por sentença. Com relação aos rendimentos dos Embargados, inverídicas as afirmações do Embargante, posto que a genitora auferia R$ ..., ao tempo em que o alimentante negligenciou nos pagamentos das pensões, conforme atesta a cópia do recibo de pagamento de salário juntado às fls. ... dos autos, relativo ao mês de ... de ... E, atualmente, percebe e mesma remuneração, como se denota do recibo em anexo (doc. ...). De seu lado, o menor, no interstício objeto da presente cobrança (.../... até .../.../...), percebia mensalmente R$ ..., segundo se denota da declaração firmada pelo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2026-10-26T02:39:40.656Z</dcterms:created>
  <dcterms:modified xsi:type="dcterms:W3CDTF">2026-10-26T02:39:40.656Z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