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SEPARAÇÃO LITIGIOSA C/C ALIMENTOS</w:t>
      </w:r>
    </w:p>
    <w:p/>
    <w:p/>
    <w:p>
      <w:r>
        <w:t xml:space="preserve">DIVÓRCIO LITIGIOSO — ABANDONO DE LAR PELO HOMEM - IMÓVEL - BEM RESERVADO DA MULHER - SENTENÇA - OMISSÃO - ART. 535/CPC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DE DIREITO DA ... VARA DE FAMÍLIA DA COMARCA DE ... ... devidamente qualificada nos Autos em epígrafe, através de seu Procurador infra-assinado vem mui respeitosamente e no prazo da Lei, com fundamento nos artigos 535 e seguintes do Código de Processo Civil, opor EMBARGOS DE DECLARAÇÃO à respeitável sentença de fls. ... e ..., em face das seguintes razões: 1. Verifica-se, às fls. ... e ..., que a sentença proferida por Vossa Excelência, ao julgar a causa, houve por bem conceder o pedido de Divórcio de ... e de ..., tendo em vista a separação de fato há mais de ... anos, comprovada pela prova testemunhal, bem como a manifestação favorável do Representante do Ministério Público, nos termos do artigo 226, Parágrafo 6 da Constituição Federal, combinado com o artigo 40 da Lei 6.515 de 26/12/1.977; 2. De tal julgamento emerge, desde logo, um ponto importante que deveria merecer acolhida, ou seja, A DECLARAÇÃO DE BEM RESERVADO à autora, sobre o único bem que possuíam, o imóvel financiado pelo ... Crédito Imobiliário (Apartamento n. ... do Conjunto ...) - Matrícula ... do ...º Ofício de Registro de Imóveis de ..., xerox às fls. ... dos Autos, tendo em vista que a Autora o pagou praticamente sozinha, durante ..., com o seu próprio dinheiro e sem a participação do companheiro, pois este a abandonou logo no início do casamento, isto a mais de ... anos atrás e levando-se ainda em conta que a data de aquisição do referido imóvel deu-se em ... de ... de ... com o prazo de pagamento de ... meses, ou seja, ... anos, devendo a Requerente continuar o pagamento nos próximos ... anos; 3. A falta de definição com relação a DECLARAÇÃO DE BEM RESERVADO sobre o referido imóvel representa questão de alta relevância pelo fato de que a Autora não pode dispor do mesmo de forma como pretende. 4. Levanta-se também na presente o equívoco contido no início da sentença de fls. ..., quando se refere aos AUTOS n. ..., tratando -se na realidade dos AUTOS n. ..., o qual solicita-se a devida correção. Em face do exposto, confia a Embargante que Vossa Excelência, digne-se a dar provimento ao presente recurso para o fim de "data vênia", corrigir as faltas apontadas, nos termos da Lei. N. Termos, P.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2026-06-17T16:32:33.415Z</dcterms:created>
  <dcterms:modified xsi:type="dcterms:W3CDTF">2026-06-17T16:32:33.415Z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