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SEPARAÇÃO LITIGIOSA C/C ALIMENTOS</w:t>
      </w:r>
    </w:p>
    <w:p/>
    <w:p/>
    <w:p>
      <w:r>
        <w:t xml:space="preserve">DIVÓRCIO LITIGIOSO — ABANDONO DE LAR PELO HOMEM - IMÓVEL - BEM RESERVADO DA MULHER - SENTENÇA - OMISSÃO - ART. 535/CPC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DE FAMÍLIA DA COMARCA DE ... ... devidamente qualificada nos Autos em epígrafe, através de seu Procurador infra-assinado vem mui respeitosamente e no prazo da Lei, com fundamento nos artigos 535 e seguintes do Código de Processo Civil, opor EMBARGOS DE DECLARAÇÃO à respeitável sentença de fls. ... e ..., em face das seguintes razões: 1. Verifica-se, às fls. ... e ..., que a sentença proferida por Vossa Excelência, ao julgar a causa, houve por bem conceder o pedido de Divórcio de ... e de ..., tendo em vista a separação de fato há mais de ... anos, comprovada pela prova testemunhal, bem como a manifestação favorável do Representante do Ministério Público, nos termos do artigo 226, Parágrafo 6 da Constituição Federal, combinado com o artigo 40 da Lei 6.515 de 26/12/1.977; 2. De tal julgamento emerge, desde logo, um ponto importante que deveria merecer acolhida, ou seja, A DECLARAÇÃO DE BEM RESERVADO à autora, sobre o único bem que possuíam, o imóvel financiado pelo ... Crédito Imobiliário (Apartamento n. ... do Conjunto ...) - Matrícula ... do ...º Ofício de Registro de Imóveis de ..., xerox às fls. ... dos Autos, tendo em vista que a Autora o pagou praticamente sozinha, durante ..., com o seu próprio dinheiro e sem a participação do companheiro, pois este a abandonou logo no início do casamento, isto a mais de ... anos atrás e levando-se ainda em conta que a data de aquisição do referido imóvel deu-se em ... de ... de ... com o prazo de pagamento de ... meses, ou seja, ... anos, devendo a Requerente continuar o pagamento nos próximos ... anos; 3. A falta de definição com relação a DECLARAÇÃO DE BEM RESERVADO sobre o referido imóvel representa questão de alta relevância pelo fato de que a Autora não pode dispor do mesmo de forma como pretende. 4. Levanta-se também na presente o equívoco contido no início da sentença de fls. ..., quando se refere aos AUTOS n. ..., tratando -se na realidade dos AUTOS n. ..., o qual solicita-se a devida correção. Em face do exposto, confia a Embargante que Vossa Excelência, digne-se a dar provimento ao presente recurso para o fim de "data vênia", corrigir as faltas apontadas, nos termos da Lei.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2026-10-26T03:42:37.178Z</dcterms:created>
  <dcterms:modified xsi:type="dcterms:W3CDTF">2026-10-26T03:42:37.178Z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