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ABANDONO DO LAR</w:t>
      </w:r>
    </w:p>
    <w:p/>
    <w:p/>
    <w:p>
      <w:r>
        <w:t xml:space="preserve">ART. 226/CF, §6 — DECURSO DO PRAZO LEGAL - CITAÇÃO POR EDITAL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DE .... ...., (qualificação), residente e domiciliada na Rua .... nº ...., em ...., por meio de sua procuradora in fine assinada, (instrumento de procuração em anexo, doc. ....), advogada da Defensoria Pública do ...., e que recebe intimações na Rua .... nº ...., em ...., propor com fulcro no art. 226, § 6º, da Constituição Federal, promulgada em 5/10/88, bem como o art. 1580 do Código Civil, a presente: CONVERSÃO DE SEPARAÇÃO CONSENSUAL EM DIVÓRCIO, contra ...., residente e domiciliado em lugar incerto e não sabido, pelos motivos adiante aduzidos: 1 - Por força de sentença constante, nos autos de SEPARAÇÃO CONSENSUAL, que tramitou perante o juízo de direito da .... ª Vara de Família da Comarca de ...., nos autos sob nº ...., foi decretada a separação do casal, homologada por essa forma, a vontade de ambos, expressa no termo respectivo. A sentença transitou em julgado na data de ...., na qual consta que a contraente voltaria a usar o nome de solteira, ou seja, .... (conforme certidão de casamento devidamente averbada, doc. II); 2 - As cláusulas estabelecidas na separação judicial, vem sendo cumpridas; 3 - Pode-se constatar através da certidão de casamento averbada, que desde a sentença homologatória já decorreram, 3 anos e 8 meses da separação judicial, atendendo assim, o decurso do prazo exigido em lei. Isto posto, requer a Vossa Excelência: a) A citação do requerido por edital, para manifestar-se sobre o pedido, e contestar a presente, caso deseje, sob pena de confesso e revelia; b) A intimação do digno representante do Ministério Público, para intervir no feito; c) Protesta-se pela produção de todo o tipo de provas em direito admitidas, especialmente o depoimento pessoal do requerido; d) Seja distribuída por dependência à .... ª Vara de Família da Comarca de ...., e apenso aos autos nº ....; e) Uma vez cumpridas todas as disposições legais requer a pr olatação da respeitável sentença, através da decretação do DIVÓRCIO do casal, determinando em seguida, a expedição do mandado de averbação ao registro competente, para que produza os seus efeitos; f) Seja julgado procedente o presente pedido de CONVERSÃO DE SEPARAÇÃO JUDICIAL EM DIVÓRCIO; g) Finalmente, requer o benefício da justiça gratuita, nos termos da Lei 1060/50, com alteração da Lei 7510/86, por ser a requerente pessoa reconhecidamente carente, (conforme declaração de pobreza inclusa, doc. ....). Dá-se à causa o valor de R$ .... (....), para fins meramente fiscais.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2026-09-10T22:17:39.296Z</dcterms:created>
  <dcterms:modified xsi:type="dcterms:W3CDTF">2026-09-10T22:17:39.296Z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