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SEPARAÇÃO JUDICIAL</w:t>
      </w:r>
    </w:p>
    <w:p>
      <w:r>
        <w:rPr>
          <w:i/>
          <w:iCs/>
          <w:color w:val="666666"/>
        </w:rPr>
        <w:t xml:space="preserve">ABANDONO DO LAR</w:t>
      </w:r>
    </w:p>
    <w:p/>
    <w:p/>
    <w:p>
      <w:r>
        <w:t xml:space="preserve">SEPARAÇÃO CONSENSUAL — LAPSO TEMPORAL - INEXISTÊNCIA DE PROLE - CÔNJUGE VARÃO DESAPARECIDO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DE FAMÍLIA DA COMARCA DE .... ...., (qualificação), residente e domiciliada na Rua .... nº ...., em ...., por intermédio de seu procurador judicial no final assinado, (conforme procuração anexa, doc. ....), inscrito na OAB/.... sob o nº ...., com escritório profissional nesta cidade, na Rua .... nº ...., onde recebe intimações, vem respeitosamente perante V. Exa., requerer a CONVERSÃO DE SUA SEPARAÇÃO JUDICIAL EM DIVÓRCIO com fundamento nos artigos 226 § 6º da CF, Código Civil, dentre outras disposições legais aplicáveis à espécie, contra ...., (qualificação), residente e domiciliado em lugar incerto e não sabido, pelos motivos que passa a expor: 1. Por sentença prolatada nos autos de separação judicial da .... ª Vara Cível de ...., em .... de .... de ...., hoje redistribuído para a .... ª Vara de Família de ...., foi decretado a separação da requerente e do requerido. (doc. ....) 2. Tal decisão, equiparada pelo artigo 1580 Código Civil e artigo 42 da Lei nº 6.515, de 26.12.77, à se separação judicial, decorrido prazo superior a um (01) ano, é passível da conversão ora requerida, desde que cumpridas, como foram, as obrigações assumidas quando da separação. 3. Não possuíam, à época da separação nem filhos e nem bens a partilhar. 4. ISTO POSTO, distribuída esta por dependência na forma do disposto no artigo 35, parágrafo único, da Lei 6.515 de 26.12.77, requer a V. Exa., que se digne de ordenar a citação do requerido por EDITAL, com fundamento no artigo 231, inciso II, do Código de Processo Civil, para que, se o quiser, contestar a presente ação, no prazo legal, sob pena de revelia, que a final deverá ser julgada procedente, decretando-se, por sentença, a conversão da separação judicial em divórcio, a fim de que, averbada no Registro Civil competente produza os efeitos legais, condenando o requerido ao pagamento das custas e honorários advocatícios. 5. Requer, finalmente, com fulcro no artigo 84 do Código de Processo Civil, a intimação do representante do Ministério Público, para que intervenha no processo. 6. Protesta-se pela produção do depoimento pessoal do requerido, sob pena de confissão, inquirição de testemunhas que serão oportunamente arroladas e juntada, se necessário, de documentos novos. Dá-se à causa o valor de R$ .... Nestes termos, Pede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2026-06-17T14:13:40.858Z</dcterms:created>
  <dcterms:modified xsi:type="dcterms:W3CDTF">2026-06-17T14:13:40.858Z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