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/>
    <w:p>
      <w:r>
        <w:t xml:space="preserve">FILHO — MENOR - INEXISTÊNCIA DE BENS - BEM - PEDIDO CONSENSUAL - PENSÃO ALIMENTÍCIA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DE FAMÍLIA DA COMARCA DE .... ...., (qualificação), residente e domiciliado na Rua .... nº ...., na Cidade de ...., Estado do ...., portador da Cédula de Identidade/RG nº ...., inscrito no CPF/MF sob o nº .... e .... (qualificação), residente e domiciliada na Rua .... nº ...., Cidade de ...., Estado do ....., portadora da Cédula de Identidade/RG sob o nº .... e inscrita no CPF/MF sob o nº ...., por seu procurador e advogado (procuração em anexo),com escritório profissional na Rua .... nº ...., na Cidade de ...., Estado do ...., vêm respeitosamente perante V. Exa. requerer SEPARAÇÃO CONSENSUAL DE CORPOS o que fazem nos termos seguintes: 1. Os Requerentes contraíram matrimônio em ...., pelo regime de comunhão parcial de bens, advindo dessa união um filho de nome ...., nascido em .... (certidão inclusa). 2. Os Requerentes acham-se separados de fato desde o dia ...., valendo a presente como ratificação da intenção de promover, ocorrendo o biênio legal, a Separação Consensual, com vistas à dissolução da sociedade conjugal, acordando, desde já, as cláusulas a respeito daquele procedimento. a) O cônjuge varão contribuirá à cônjuge virago e ao filho menor, com uma pensão alimentícia no valor de 1/3 de seus rendimentos brutos, menos descontos obrigatórios. A guarda do filho ficará com a mãe. A verba referida deverá ser implantada em folha de pagamento junto ao empregador do varão - .... -, empresa está situada na Rua .... nº ...., e estará à disposição do cônjuge virago, ...., mensalmente, ou na conta bancária que esta indicar, onde deverá ser depositada. b) A pensão alimentícia será reajustada automaticamente conforme os vencimentos do varão devedor. c) O cônjuge varão poderá visitar o filho menor em horário aberto e de sua conveniência, desde que não prejudique o menor. d) A separanda, após a homologação da presente, ratificada em juízo, após o decurso do biênio legal, em p rocedimento próprio, passará a usar o seu nome de solteira, ou seja .... e) O casal separando não possui bens ou dívidas a partilhar. 3. Convictos do pedido ora formulado, em caráter preventivo e cautelar, firmam o presente, visando sua homologação e no aguardo do prazo legal da Lei do Divórcio em vigor, para que, em procedimento próprio e igual ratificação na oportunidade, perante o JUÍZO DE DIREITO DA VARA DE FAMÍLIA respectivo, possam tornar efetiva a dissolução da sociedade conjugal pretendida e, após o que, transitada em julgado aquela decisão homologatória, seja na oportunidade expedido o competente mandado de averbação ao Registro Civil, ouvido o Douto representado pelo Ministério Público, e pagas as custas de lei. Valor R$ .... Termos em que, P. Deferimento.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2026-09-11T06:34:51.493Z</dcterms:created>
  <dcterms:modified xsi:type="dcterms:W3CDTF">2026-09-11T06:34:51.493Z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