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ELEITORAL</w:t>
      </w:r>
    </w:p>
    <w:p>
      <w:r>
        <w:rPr>
          <w:i/>
          <w:iCs/>
          <w:color w:val="666666"/>
        </w:rPr>
        <w:t xml:space="preserve">RECURSO CONTRA DIPLOMAÇÃO</w:t>
      </w:r>
    </w:p>
    <w:p/>
    <w:p/>
    <w:p>
      <w:r>
        <w:t xml:space="preserve">PEDIDO DE PROVIDÊNCIAS — DESCUMPRIMENTO DE ORDEM JUDICIAL - PENALIDADE - PROPAGANDA ELEITORAL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ELEITORAL DA ZONA ELEITORAL DE .......... ................, devidamente qualificado nos autos de representação com pedido liminar sobre o número 00/00, por seu advogado, respeitosamente vem à presença de V. Exa., apresentar Pedido De Providências pelos motivos e fatos a seguir expostos: Dos Fatos Em data de 11 de outubro de 2000, a ora peticionária, propôs perante esse juízo representação com pedido de liminar, face a propaganda política dos representados veiculada no rádio as 7:00 horas do mesmo dia. Seguindo os trâmites normais, foi concedida liminar nos seguintes termos: "Autos número 290/2000 Ação de representação I - da liminar. A coligação ............... ensurge-se contra o candidato ................. e de coligação ............ (...) Defiro a liminar pleiteada, com o AMPARO do artigo 6º, ..............grafo 2º, da lei 954/97 e artigo 5º da resolução 20.562/00, sob pena de desobediência e suspensão do programa eleitoral. III. Publique-se .............., 11 de outubro de 2000 Juíza eleitoral" Os representados foram devidamente notificados pelo sr. Oficial de Justiça as 17:30 horas do dia 11 de outubro o de 2000, ou seja, em tempo hábil o suficiente para cumprir liminar concedida por este r. Juízo. Ressalte-se ainda que a geração da propaganda eleitoral em bloco é feita por uma única emissora de rádio (rádio Banda D), portanto, para cumprimento da liminar será necessário dirigir-se a uma única emissora e alterar uma única fita. Ocorre que, em flagrante e desrespeito a referida ordem judicial, os representados veicularam em seu programa eleitoral gratuito do dia 12 de outubro de 2000, as 7:00 horas com as mesmas irregularidades. Do exposto, não restam mais a Exa. outra alternativa a não ser a imposição da penalidade já determinada, ou seja, a suspensão do programa eleitorado dos representados, nos termos da liminar concedida. É o que se requer . Ainda, em face ao horário de funcionamento da escrivaninha eleitoral iniciar-se às 13 horas em razão do feriado nacional 2 de outubro, requer se digne V. Exa. a receber a presente na data atual, nesse horário, via fax, cuja petição original será protocolada com cópia da degravação do programa questionado, tão logo seja possível. Temos em que, pede deferimento. Local e data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2026-10-26T03:45:59.423Z</dcterms:created>
  <dcterms:modified xsi:type="dcterms:W3CDTF">2026-10-26T03:45:59.423Z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