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CONSÓRCIO DE AUTOMÓVEIS</w:t>
      </w:r>
    </w:p>
    <w:p>
      <w:r>
        <w:rPr>
          <w:i/>
          <w:iCs/>
          <w:color w:val="666666"/>
        </w:rPr>
        <w:t xml:space="preserve">MINISTÉRIO DA FAZENDA</w:t>
      </w:r>
    </w:p>
    <w:p/>
    <w:p/>
    <w:p>
      <w:r>
        <w:t xml:space="preserve">ESTÍMULO À INDÚSTRIA DA CONSTRUÇÃO CIVIL — MEDIDAS - CRIA</w:t>
      </w:r>
    </w:p>
    <w:p/>
    <w:p>
      <w:pPr>
        <w:pStyle w:val="Heading2"/>
      </w:pPr>
      <w:r>
        <w:rPr>
          <w:b/>
          <w:bCs/>
        </w:rPr>
        <w:t xml:space="preserve">Ementa</w:t>
      </w:r>
    </w:p>
    <w:p>
      <w:r>
        <w:t xml:space="preserve">LEI Nº 4.864, DE 29 DE NOVEMBRO DE 1965 Cria medidas de estímulo à industria de construção civil. O Presidente da República Faço saber que o Congresso Nacional decreta e eu sanciono a seguinte Lei: Art. 1° - Sem prejuízo das disposições da Lei n° 4.591, de 16 de dezembro de 1964, os contratos que tiverem por objeto a venda ou a construção de habitações com pagamento a prazo poderão prever a correção monetária da dívida, com o conseqüente reajustamento das prestações mensais de amortização e juros, observadas as seguintes normas: I - somente poderão ser corrigidos os contratos de venda, promessa de venda, cessão e promessa de cessão, ou de construção, que tenham por objeto imóveis construídos ou terrenos cuja construção esteja contratada, inclusive unidades autônomas e respectivas quotas ideais de terreno em edificação ou conjunto de edificações incorporada em condomínio; II - a parte financiada, sujeita à correção monetária, deverá ser paga em prestações mensais de igual valor, incluindo amortização e juros convencionados à taxa máxima fixada pelo Conselho Monetário Nacional, admitida a fixação em contrato das prestações posteriores à entrega da unidade autônoma em valor diverso do das anteriores à entrega, sendo vedada a correção do valor de prestações intermediárias, se houver, e do saldo devedor a elas correspondente, exceção feita à prestação vinculada à entrega das chaves, desde que não seja superior, inicialmente, a 10% (dez por cento) do valor original da parte financiada; III - o saldo devedor e as prestações serão corrigidos em períodos não inferiores a 6 (seis) meses com base em índices de preços apurados pelo Conselho Nacional de Economia, ou pela Fundação "Getulio Vargas", e o contrato deverá indicar em detalhe as condições do reajustamento e o índice convencionado; IV - o reajustamento das prestações não poderá entrar em vigor antes de decorridos 60 (sessenta) dias do término do mês da correç ão; V - nas condições previstas no contrato, o adquirente poderá liquidar antecipadamente a dívida ou parte da mesma; VI - a rescisão do contrato por inadimplemento do adquirente somente poderá ocorrer após o atraso de, no mínimo, 3 (três) meses do vencimento de qualquer obrigação contratual ou de três prestações mensais, assegurado ao devedor o direito de purgar a mora dentro do prazo de 90 (noventa) dias, a contar da data do vencimento da obrigação não cumprida ou da primeira prestação não paga; VII - nos casos de rescisão a que se refere o item anterior, o alienante poderá promover a transferência para terceiro dos direitos decorrentes do contrato, observadas, no que forem aplicáveis, as disposições dos §§ 1° a 8° do art. 63 da Lei n° 4.591, de 16 de dezembro de 1964, ficando o alienante, para tal fim, investido dos poderes naqueles dispositivos conferidos à Comissão de Representantes. VIII e IX - (Vetados) § 1° - Os contratos de aquisição de imóveis a que se refere o art. 63 da Lei n° 4.728, de 14 de julho de 1965, poderão prever a correção monetária nos termos do item III deste artigo. § 2° - As diferenças nominais no principal dos contratos referidos neste artigo e seus parágrafos, resultantes da correção monetária, não constituirão rendimento tributável para efeitos do Imposto de Renda. § 3° - Nos casos e nas condições aprovadas pelo Conselho Monetário Nacional, as entidades integrantes do Sistema Financeiro da Habitação poderão operar com as cláusulas de correção previstas neste artigo, quer nas obrigações ativas, quer nas passivas. Art. 2° - Quando o valor do imóvel, nos contratos a que se refere o artigo anterior, não exceder a 300 (trezentas) vezes o maior salário mínimo mensal vigente no País, será obrigatória a contratação, nos moldes preconizados pelo Banco Nacional da Habitação, como parte integrante dos contratos e durante sua vigência, do seguro de vida de renda temporária em nome e benefício do adquirente. Parágrafo único. Nos contratos com valor superior a 200 (duzentas) e até 300 (trezentas) vezes o maior salário mínimo vigente no País, será facultativo, a critério do adquirente, o cumprimento do disposto neste artigo, quando do contrato constar o compromisso expresso do alienante em oferecer ao espólio do adquirente a opção, por 90 (noventa) dias, entre continuar com a unidade nas condições do contrato ou receber, em prazo igual ao de sua vigência, a devolução de todas as prestações pagas, com a respectiva correção monetária e juros à taxa que for convencionada. Art. 3° - Nos casos de rescisão,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2026-06-17T14:01:22.387Z</dcterms:created>
  <dcterms:modified xsi:type="dcterms:W3CDTF">2026-06-17T14:01:22.387Z</dcterms:modified>
</cp:coreProperties>
</file>

<file path=docProps/custom.xml><?xml version="1.0" encoding="utf-8"?>
<Properties xmlns="http://schemas.openxmlformats.org/officeDocument/2006/custom-properties" xmlns:vt="http://schemas.openxmlformats.org/officeDocument/2006/docPropsVTypes"/>
</file>