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>
      <w:r>
        <w:rPr>
          <w:b/>
          <w:bCs/>
        </w:rPr>
        <w:t xml:space="preserve">Julgado em: </w:t>
      </w:r>
      <w:r>
        <w:t xml:space="preserve">24/02/1997</w:t>
      </w:r>
    </w:p>
    <w:p/>
    <w:p>
      <w:r>
        <w:t xml:space="preserve">VÍCIO OCULTO — PRAZO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1 - Impõe-se, de início, o exame do tema da decadência, posto que prejudicial às demais questões, caso acolhida a tese da agravante. - A ação funda-se em defeito de fabricação de um veículo marca Volkswagen, tipo Voyage, ano de fabricação e modelo 1992, adquirido pelo agravado em 22.01.1992. Esse defeito, segundo a inicial, reside na pintura do veículo, que sofre um processo de decapagem. Reconhece o autor da ação que a ré vem tentando sanar o defeito, promovendo reparos permanentes (f.). - De fato, está comprovado que por duas vezes a agravante efetuou reparos na pintura do teto do veículo, uma em abril de 1993 e outra em agosto de 1995 (f.). Foram serviços prestados gratuitamente como cortesia ao cliente, já que o prazo de garantia de um ano já se escoara, segundo alegado pela agravante na contestação (f.). - É inegável, então, que alguma anomalia a pintura do teto do veículo apresentava. O autor assevera que o problema decorre de defeito de fabricação. A verificação do fato, portanto, demanda conhecimentos especializados, sendo necessária a realização de prova técnica. - Com isso se quer dizer que o defeito de pintura de automóvel zero quilômetro, como o que o agravado alega existir, não se enquadra na categoria dos vícios aparentes, ou de fácil constatação, mas sim na categoria dos vícios ocultos, de modo que o direito de reclamar caduca no prazo de noventa dias, contados do momento em que fi car evidenciado o defeito (art. 26, II, e § 3º, do Código de Proteção ao Consumidor, aprovado pela Lei 8.078, de 01.09.1990). - O término do prazo de garantia contratual, para a hipótese, não inibe a garantia legal prevista para os vícios de qualidade por inadequação, pois o CDC estabelece a durabilidade como um requisito essencial de produtos e serviços (art. 19). Como escreve ANTÔNIO HERMAN DE VASCONCELLOS E BENJAMIN, a categoria dos vícios de qualidade por inadequação tem que ver "por um lado, com o desempenho dos produtos e serviços, ou seja, com o cumprimento de sua finalidade em acordo com a expectativa legítima do consumidor. De outro, manifesta-se com um caráter de durabilidade, isto é, a garantia de que o produto ou serviço não perderá, total ou parcialmente, de forma prematura, sua utilidade, também em sintonia com a expectativa legítima do consumidor" (Comentários ao Código de Proteção do Consumidor - Saraiva - 1991 - p. 39). De modo que, consoante lição de CLÁUDIA LIMA MARQUES, "se há garantia contratual (express warranty) e esta foi estipulada para vigorar a partir da data do contrato (termo de garantia), as garantias começam a correr juntas, pois a garantia legal nasce necessariamente com o contrato de consumo, com a entrega do produto, sua colocação no mercado de consumo. Ao consumidor é que cabe escolher de qual delas fará uso. Pode usar a garantia contratual, porque lhe é mais vantajosa, no sentido de não ter que argüir que o vício já existia à época do fornecimento. Mas pode usar a garantia legal, porque, por exemplo, o vício se localiza no motor do produto (geladeira), que não está incluído na garantia contratual, ou porque o consumidor se interessa em redibir o contrato e adquirir outro produto de marca diferente" (Contratos no Código de Defesa do Consumidor - Ed. RT - p. 209). - Não se pode, evidentemente, querer estender ad infinitum a garantia legal. Na doutrina atual de J. M. DE CARVALHO SANTOS, o interesse social "está em exigir que tenham solução definitiva as situações contrárias ao direito. E se o credor permanece inerte, sem providenciar para o efetivo exercício de seu direito, estabelece-se uma incerteza, uma situação de dúvida, que a ordem jurídica condena. E por condená-la, não tolerando que permaneça esse estado contrário aos interesses superiores da ordem pública, é que impõe um termo, fazendo tal estado cessar" (Código Civil interpretado - Freitas Bastos - 1937 - v. III/372). - ZELMO DENARI divide em três fases distintas o consumo de produtos ou serviços: "Na primeira fase, dita de conservação, procura-se preservar a indenidade, ou seja, a incolumidade dos bens ou serviços colocados no mercado de consumo. Este período de tempo costuma ser mensurado pelo prazo contratual de garantia do produto. Portanto, é o próprio fornecedor quem determina o tempo de duração do termo de garantia, variável segundo a natureza do produto. A fase subseqüente é de degradação do consumo, pois o produto passa a ser consumido, sem garantia contratual de reparação do vício. Finalmente, a última fase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relação de consumo disciplinada pelo Código de Proteção do Consumidor, em se tratando de vício oculto, o prazo de decadência inicia-se a partir do momento em que ficar evidenciado o defeito, em decorrência da garantia legal que tem o consumidor contra os vícios de qualidade, sendo irrelevante o término do prazo de garantia contratual. Não se trata, entretanto, de garantia "ad infinitum", pois se há de levar em conta o critério de durabilidade, ou vida útil, normal do produto.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2026-06-17T13:59:32.681Z</dcterms:created>
  <dcterms:modified xsi:type="dcterms:W3CDTF">2026-06-17T13:59:32.681Z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