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5.172 DE 25-10-1966</w:t>
      </w:r>
    </w:p>
    <w:p/>
    <w:p/>
    <w:p>
      <w:r>
        <w:t xml:space="preserve">51. LIVRO COMPLEMENTAR
      Das Disposições Finais e Transitórias</w:t>
      </w:r>
    </w:p>
    <w:p/>
    <w:p>
      <w:pPr>
        <w:pStyle w:val="Heading2"/>
      </w:pPr>
      <w:r>
        <w:rPr>
          <w:b/>
          <w:bCs/>
        </w:rPr>
        <w:t xml:space="preserve">Ementa</w:t>
      </w:r>
    </w:p>
    <w:p>
      <w:r>
        <w:t xml:space="preserve">LIVRO COMPLEMENTAR Das Disposições Finais e Transitórias Art. 2.028. Serão os da lei anterior os prazos, quando reduzidos por este Código, e se, na data de sua entrada em vigor, já houver transcorrido mais da metade do tempo estabelecido na lei revogada. Art. 2.029. Até dois anos após a entrada em vigor deste Código, os prazos estabelecidos no parágrafo único do art. 1.238 e no parágrafo único do art. 1.242 serão acrescidos de dois anos, qualquer que seja o tempo transcorrido na vigência do anterior, Lei nº 3.071, de 1o de janeiro de 1916. Art. 2.030. O acréscimo de que trata o artigo antecedente, será feito nos casos a que se refere o § 4º do art. 1.228. Art. 2.031. As associações, sociedades e fundações, constituídas na forma das leis anteriores, bem assim os empresários, deverão se adaptar às disposições deste Código até 11 de janeiro de 2007. (Redação dada pela Lei 11.127 de 28-06-2005) Redações anteriores: "Art. 2.031. As associações, sociedades e fundações, constituídas na forma das leis anteriores, terão o prazo de 2 (dois) anos para se adaptar às disposições deste Código, a partir de sua vigência igual prazo é concedido aos empresários. (Alterado pela Lei nº 10.838/2004)" "Art. 2.031. As associações, sociedades e fundações, constituídas na forma das leis anteriores, terão o prazo de um ano para se adaptarem às disposições deste Código, a partir de sua vigência; igual prazo é concedido aos empresários." Parágrafo único. O disposto neste artigo não se aplica às organizações religiosas nem aos partidos políticos. (Acrescentado pela Lei 10.825 de 22-12-2003) Art. 2.032. As fundações, instituídas segundo a legislação anterior, inclusive as de fins diversos dos previstos no parágrafo único do art. 62, subordinam-se, quanto ao seu funcionamento, ao disposto neste Código. Art. 2.033. Salvo o disposto em lei especial, as modificações dos atos constitutivos das pessoas jurídic as referidas no art. 44, bem como a sua transformação, incorporação, cisão ou fusão, regem-se desde logo por este Código. Art. 2.034. A dissolução e a liquidação das pessoas jurídicas referidas no artigo antecedente, quando iniciadas antes da vigência deste Código, obedecerão ao disposto nas leis anteriores. Art. 2.035. A validade dos negócios e demais atos jurídicos, constituídos antes da entrada em vigor deste Código, obedece ao disposto nas leis anteriores, referidas no art. 2.045, mas os seus efeitos, produzidos após a vigência deste Código, aos preceitos dele se subordinam, salvo se houver sido prevista pelas partes determinada forma de execução. Parágrafo único. Nenhuma convenção prevalecerá se contrariar preceitos de ordem pública, tais como os estabelecidos por este Código para assegurar a função social da propriedade e dos contratos. Art. 2.036. A locação de prédio urbano, que esteja sujeita à lei especial, por esta continua a ser regida. Art. 2.037. Salvo disposição em contrário, aplicam-se aos empresários e sociedades empresárias as disposições de lei não revogadas por este Código, referentes a comerciantes, ou a sociedades comerciais, bem como a atividades mercantis. Art. 2.038. Fica proibida a constituição de enfiteuses e subenfiteuses, subordinando-se as existentes, até sua extinção, às disposições do Código Civil anterior, Lei nº 3.071, de 1º de janeiro de 1916, e leis posteriores. § 1º Nos aforamentos a que se refere este artigo é defeso: I - cobrar laudêmio ou prestação análoga nas transmissões de bem aforado, sobre o valor das construções ou plantações; II - constituir subenfiteuse. § 2º A enfiteuse dos terrenos de marinha e acrescidos regula-se por lei especial. Art. 2.039. O regime de bens nos casamentos celebrados na vigência do Código Civil anterior, Lei nº 3.071, de 1º de janeiro de 1916, é o por ele estabelecido. Art. 2.040. A hipoteca le gal dos bens do tutor ou curador, inscrita em conformidade com o inciso IV do art. 827 do Código Civil anterior, Lei nº 3.071, de 1º de janeiro de 1916, poderá ser cancelada, obedecido o disposto no parágrafo único do art. 1.745 deste Código. Art. 2.041. As disposições deste Código relativas à ordem da vocação hereditária (arts. 1.829 a 1.844) não se aplicam à sucessão aberta antes de sua vigência, prevalecendo o disposto na lei anterior (Lei nº 3.071, de 1º de janeiro de 1916). Art. 2.042. Aplica-se o disposto no caput do art. 1.848, quando aberta a sucessão no prazo de um ano após a entrada em vigor deste Código, ainda que o testamento tenha sido feito na vigência do anterior, Lei nº 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2026-06-17T14:19:57.288Z</dcterms:created>
  <dcterms:modified xsi:type="dcterms:W3CDTF">2026-06-17T14:19:57.288Z</dcterms:modified>
</cp:coreProperties>
</file>

<file path=docProps/custom.xml><?xml version="1.0" encoding="utf-8"?>
<Properties xmlns="http://schemas.openxmlformats.org/officeDocument/2006/custom-properties" xmlns:vt="http://schemas.openxmlformats.org/officeDocument/2006/docPropsVTypes"/>
</file>