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DEFESA DO CONSUMIDOR</w:t>
      </w:r>
    </w:p>
    <w:p>
      <w:r>
        <w:rPr>
          <w:i/>
          <w:iCs/>
          <w:color w:val="666666"/>
        </w:rPr>
        <w:t xml:space="preserve">SERVIÇO DE PROTEÇÃO AO CRÉDITO</w:t>
      </w:r>
    </w:p>
    <w:p/>
    <w:p/>
    <w:p>
      <w:r>
        <w:t xml:space="preserve">PROCON — MANDADO DE SEGURANÇA - RECLAMAÇÃO - IMPROCEDÊNCIA - PROCESSO ADMINISTRATIVO - ABSTENÇÃO DE ATO - CADASTRO DE PROTEÇÃO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....ª VARA CÍVEL DA COMARCA DE .... ...., já qualificada nos autos nº ...., de Mandado de Segurança, em que é impetrante ...., nos termos do artigo 508 do CPC, vêm, por seu procurador abaixo assinado, a presença de Vossa Excelência, apresentar CONTRA-RAZÕES DE RECURSO DE APELAÇÃO interposta pela impetrante, cujas razões seguem em anexo, para o fim de, após processadas, serem remetidas para a apreciação da Superior Instância, com as cautelas de estilo. Termos em que, Pede deferimento. .................. Advogada CONTRA-RAZÕES DE APELAÇÃO DOS FATOS A apelante, irresignada com a r. decisão do MM. Juiz singular, apresentou Recurso de Apelação, tentando retirar seu nome do Cadastro de Proteção e Defesa do Consumidor, na categoria de Procedente não Resolvida, "ex vi" do artigo 44 do Código de Defesa do Consumidor. O MM. Juiz sentenciante, conforme despacho de fls., concedeu a liminar, afirmando atender às razões expostas na exordial. Ao proferir sua r. sentença, denegou a segurança concedida, cassando a liminar, e condenou a apelante ao pagamento das custas processuais e demais consectários legais. A apelante no recurso alega: a) a falta de fundamentação da r. sentença; b) que o procedimento administrativo adotado pelo Procon é descabido, fugindo "... às raias da justiça"; c) que o Código de Defesa do Consumidor não poderia incidir sobre contratos firmados anteriormente a sua entrada em vigor; d) que os limites da competência do Procon para incluir o nome de fornecedores no referido deve decorrer de reclamação fundamentada, o que não ocorreu; e) que o Parecer do órgão do Ministério Público "... peca pela falta de análise de todas as situações colocadas pelas partes"; f) que o Procon deveria, antes de publicar o Cadastro de Proteção e Defesa do Consumidor, informar a apelante sobre a inclusão de seu nome. Diante disso, requereu preliminarmente a nulidade da r. sentença ou a reforma da mesm a, para o fim de excluir o seu nome do referido cadastro. DA FALTA DE FUNDAMENTAÇÃO DA SENTENÇA No seu arrazoado, a recorrente pretende demonstrar a nulidade da sentença proferida pela falta de fundamentação. (sic) Tal argumento, entretanto, é descabido. Como é sabido, o Procon é o órgão coordenador da implementação política estadual de proteção, orientação, educação e defesa do consumidor. A Lei nº 8.078/90 dispõe sobre a estrutura do órgão e tem por escopo, através de processo administrativo, intervir nas relações de consumo, para reparar danos causados aos consumidores. A doutrina é pacífica em afirmar que a sistematização é ponto de extrema relevância no Código de Defesa do Consumidor, possibilitando a proteção e a defesa do consumidor de maneira mais ágil, colimando anseios a bastante tempo almejados pela coletividade, buscando, assim, o equilíbrio nas relações de consumo, ante a real e reconhecida vulnerabilidade do consumidor diante do fornecedor de produtos e serviços. As atribuições do Procon estão elencadas no Código de Defesa do Consumidor. A título de esclarecimento: no Título I, o Capítulo II, da Política Nacional de Relações de Consumo, e III, dos Direitos Básicos do Consumidor, o Capítulo VI, da Proteção Contratual, e, principalmente, o Capítulo VII, das Sanções Administrativas, todos da Lei nº 8.078/90 - Código de Proteção e Defesa do Consumidor. Assim, não há que se falar que a r. sentença deixou de relacionar as atribuições legais do Procon, bem como os dispositivos aplicáveis ao presente caso e, ainda, que a mesma foi "fruto de convicções pessoais do julgador". O MM. Juiz "a quo", decidindo pela improcedência do pedido da impetrante, não se utilizou de convicções pessoais, esquecendo-se do direito vigente. Por fim, a afirmação de que "não houve ampla defesa, contraditório e o devido processo legal", não merece sucesso. Com efeito, foram levados à apreciação do Poder Judiciário todos os documentos e provas qu e instruíram o processo administrativo, os quais foram ratificadas e reconhecidos tanto pelo ilustre membro do Ministério Público, como pelo MM. Juiz sentenciante. Além do mais, a impetrante poderia ter passado os olhos no art. 10 da Lei nº 1.533/51: "Findo o prazo a que se refere o item I, do artigo 7º e ouvido o representante do Ministério Público, dentro de 05 dias, os autos serão conclusos ao juiz, independentemente de solicitação da parte, para a decisão, a qual deverá ser proferida em 05 dias, tenham sido ou não prestadas as informações pela autoridade coatora". Portanto, não 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2026-09-11T00:16:44.644Z</dcterms:created>
  <dcterms:modified xsi:type="dcterms:W3CDTF">2026-09-11T00:16:44.644Z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