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DESAPROPRIAÇÃO INDIRETA</w:t>
      </w:r>
    </w:p>
    <w:p>
      <w:r>
        <w:rPr>
          <w:i/>
          <w:iCs/>
          <w:color w:val="666666"/>
        </w:rPr>
        <w:t xml:space="preserve">RECUO IMPOSTO PELO PODER PÚBLICO</w:t>
      </w:r>
    </w:p>
    <w:p/>
    <w:p>
      <w:r>
        <w:rPr>
          <w:b/>
          <w:bCs/>
        </w:rPr>
        <w:t xml:space="preserve">Recurso: </w:t>
      </w:r>
      <w:r>
        <w:t xml:space="preserve">REsp 49.456/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ERRO NAS INFORMAÇÕES PRESTADAS NA INTERNET — JUSTA CAUSA CONFIGURADA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Um dos acórdãos ofertados como paradigmas formou-se na Quarta Turma do Superior Tribunal de Justiça, no Julgamento do REsp. 49.456/Monteiro. Sua ementa diz: "É suscetível de ocasionar a suspensão do prazo o embaraço processual proveniente de informação equivocada prestada pela Secretaria do Juízo. Aplicação dos artigos 183 e parágrafo primeiro e 507 do CPC." - A recorrente deu-se ao cuidado de transcrever o voto condutor do acórdão, demonstrando que a informação equivocada a que se refere a ementa, foi exatamente prestada via internet. - Não há dúvida de que as informações prestadas pela rede de computadores operada pelo Poder Judiciário são oficiais e merecem confiança. Bem por isso, eventual erro nelas cometido constitui "evento imprevisto, alheio à vontade da parte e que a impediu de praticar o ato". Reputa-se, assim, justa causa (CPC, Artigo 183, parágrafo 1º.), fazendo com que o juiz permita a prática do ato, no prazo que assinar. (Artigo 183, parágrafo 2º.). - Conheço, pois, do recurso e lhe dou provimento, para devolver o prazo. Ac. de 18-06-2002 DJ de 26-08-2002, pág. 175 (Reg. nº 2001/0181499-7) Arquivo do EMFOR, STJ/N 6378 EMENTÁRIO FORENSE. Abril, 2005. Ano LVII. Nº 677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Informações prestadas pela rede de computadores operada pelo Poder Judiciário são oficiais e merecem confiança. - Bem por isso, eventual erro nelas cometido constitui "evento imprevisto, alheio à vontade da parte e que a impediu de praticar o ato". - Reputa-se, assim, justa causa (CPC, artigo 183, parágrafo 1º.), fazendo com que o juiz permita a prática do ato, no prazo que assinar.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2026-10-26T02:39:35.823Z</dcterms:created>
  <dcterms:modified xsi:type="dcterms:W3CDTF">2026-10-26T02:39:35.823Z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