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09/12/1996</w:t>
      </w:r>
    </w:p>
    <w:p/>
    <w:p>
      <w:r>
        <w:t xml:space="preserve">LEI NOVA — APLICAÇÃO SOBRE OS EFEITOS FUTUROS DE AVENÇA PREEXISTENTE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é certo, de um lado, que, em face da prospectividade ordinária das leis, os fatos pretéritos escapam, naturalmente, ao domínio normativo desses atos estatais (RT 299/478), não é menos exato afirmar, de outro, que, para os efeitos da incidência da cláusula constitucional da irretroatividade em face de situações jurídicas definitivamente consolidadas, mostra-se irrelevante a distinção pertinente à natureza dos atos legislativos. Trate-se de leis de caráter meramente dispositivo, trate-se de leis de ordem pública, cogentes ou imperativas, todas essas espécies normativas subordinam-se, de modo pleno e indiscriminado, à eficácia condicionante e incontrastável do princípio constitucional assegurador da intangibilidade do ato jurídico perfeito, do direito adquirido e da coisa julgada em face da ação normativa superveniente do Poder Público (RTJ 106/314). - Isso significa, ante a supremacia do postulado constitucional que tutela a integridade do ato jurídico perfeito, que mesmo as leis de ordem pública não podem desconsiderar relações contratuais que foram válida e precedentemente estipuladas pelas partes contratantes. - Esse entendimento - além de encontrar apoio em autorizado magistério doutrinário (CARLOS AUGUSTO DA SILVEIRA LOBO, Irretroatividade das Leis de Ordem Pública, in RF 289/239-242; REYNALDO PORCHAT, Curso Elementar de Direito Romano, v. I/338-339, item n. 528, 1937, Melhoramentos; OSCAR TENÓRIO, Lei de Introdução ao Código Civil Brasileiro, p. 198/199, 2.a ed., 1955, Rio; CAIO MÁRIO DA SILVA PEREIRA, Instituições de D ireito Civil, v. I/128, Forense, v.g.) - reflete-se na própria jurisprudência do STF (RTJ 89/634 - RTJ 90/296 - RTJ 107/394 - RTJ 112/759), que, por mais de uma vez, já decidiu que, "tratando-se de contrato legitimamente celebrado, as partes têm o direito de vê-lo cumprido, nos termos da lei contemporânea ao seu nascimento, a regular, inclusive, os seus efeitos. Os efeitos do contrato ficam condicionados à lei vigente no momento em que foi firmado pelas partes. Aí, não há que invocar o efeito imediato da lei nova"(RTJ 106/317 - grifei). - Vê-se, portanto, que uma lei nova não pode estender-se, com a finalidade de regê-los, aos efeitos futuros de contratos anteriormente pactuados, pois, se tal situação se revelasse possível, o Estado passaria a dispor de um inaceitável poder de interferir na esfera das relações contratuais privadas, afetando, em seus aspectos essenciais, a própria causa geradora daquelas conseqüências jurídicas. - Daí o magistério jurisprudencial do STF, que, mesmo nas hipóteses de retroatividade mínima (MATOS PEIXOTO, "Limite temporal da lei", RT 173/459, 468), tem advertido - quando o ato estatal revelar-se apto a modificar efeitos futuros de contratos anteriores - que a eficácia imediata da lei nova, em tal específica situação, revestir-se-á de caráter inegavelmente retroativo: "Se a lei alcançar os efeitos futuros de contratos celebrados anteriormente a ela, será essa lei retroativa (retroatividade mínima) porque vai interferir na causa, que é um ato ou fato ocorrido no passado. O disposto no art. 5º, XXXVI, da CF se aplica a toda e qualquer lei infraconstitucional, sem qualquer distinção entre lei de direito público e lei de direito privado, ou entre lei de ordem pública e lei dispositiva. Precedente do STF" (RTJ 143/724, rel. Min. Moreira Alves, Pleno). Cumpre ter presente, bem por isso, a lição da doutrina, que, tomando em consideração a realidade jurídico-constitucional vigente no Brasil , repudia, por incompatíveis com a CF, todas as hipóteses de retroatividade injusta: "... um contrato perfeito e acabado na vigência de uma lei permanece intocável, nas suas disposições, ainda no que diz respeito aos seus efeitos futuros, manifestados quando já começou a viger uma lei nova derrogante. A aplicação da lei nova, nessa hipótese, implicaria retroatividade, em desobediência ao preceito constitucional. (...) Regra básica e inalterável é que todas as conseqüências de um contrato concluído sob o império de uma lei, inclusivamente seus efeitos futuros, devem continuar a ser reguladas por essa lei em homenagem ao valor da certeza do direito e ao princípio da tutela do equilíbrio contratual. A aplicação imediata da lei nova aos efeitos posteriores à sua vigência incide no seu fato gerador, e, portanto, implicaria aplicação retroativa" (ORLANDO GOMES, Questões Mais Recentes de Direito Privado, p. 4, item n. 3, 1988, Saraiva - grifei). - Perfilha igual orientação J. M. OTHON SIDOU,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incidência imediata da lei nova sobre os efeitos futuros de um contrato preexistente, precisamente por afetar a própria causa geradora do ajuste negocial, reveste-se de caráter retroativo (retroatividade injusta de grau mínimo), achando-se desautorizada pela cláusula constitucional que tutela a intagibilidade das situações jurídicas definitivamente consolidadas.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2026-10-26T03:21:07.611Z</dcterms:created>
  <dcterms:modified xsi:type="dcterms:W3CDTF">2026-10-26T03:21:07.611Z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