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Apelação Cível 240.479-6</w:t>
      </w:r>
    </w:p>
    <w:p>
      <w:r>
        <w:rPr>
          <w:b/>
          <w:bCs/>
        </w:rPr>
        <w:t xml:space="preserve">Julgado em: </w:t>
      </w:r>
      <w:r>
        <w:t xml:space="preserve">01/04/2002</w:t>
      </w:r>
    </w:p>
    <w:p/>
    <w:p>
      <w:r>
        <w:t xml:space="preserve">AUSÊNCIA DE NOTIFICAÇÃO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havendo prova da notificação, ao contribuinte, do lançamento do tributo, sobretudo quando esse lançamento provém de PTA, não há como admitir a regularidade da inscrição em dívida ativa e da conseqüente emissão da CDA. - Com efeito, a certidão de dívida ativa, devidamente inscrita, goza da presunção de certeza, liquidez e exigibilidade, porém não é um título abstrato, devendo necessariamente ser comunicada ao contribuinte a origem do lançamento efetuado. - Levando-se em conta que a presente infração é de natureza comissiva, a ser constatada por um fiscal credenciado, responsável pelo auto, não há como prescindir da comunicação ao infrator, a fim de que, se for o caso, pague a multa, possibilitando-lhe ainda o direito de defesa. - A legitimidade do auto de infração só se verifica com a notificação do infrator, possibilitando assim a instauração do processo administrativo. - Nos presentes autos, verifica-se que a embargante alega a falta de autuação, bem como desconhecer o processo administrativo . - Não foi comprovada a regular notificação ao infrator, a fim de que pudesse defender-se no processo administrativo e, portanto, não há como reconhecer a regularidade da inscrição em dívida ativa, nem tampouco servir a certidão para sustentar processo de execução fiscal. - Neste ponto, esta mesma 1ª Câmara Cível, na apelação em que figurou como relator o eminente Desembargador Francisco Lopes de Albuquerque, já se manifestou: "Não havendo prova da notificação, ao contribuinte, do lançamento do tributo, sobretudo quando esse lançamento provém de PTA, não há como admitir a regularidade da inscriç ão em dívida ativa e da conseqüente emissão da CDA. Com, efeito, é cediço que a certidão de dívida ativa, devidamente inscrita, goza da presunção de certeza, liquidez e exigibilidade. Mas não se cuida de um título abstrato, pois ela deita raízes em lançamento fiscal que deve, necessariamente, ter sido comunicado ao contribuinte." (Apelação Cível nº240.479-6, julgado em 02.04.2002) - Com tais razões DÁ-SE PROVIMENTO AO RECURSO voluntário, modificando a sentença, para julgar procedentes os embargos e extinguir a execução, por ausência de título hábil a sustentar processo executivo fiscal. Ac. de 18-06-2002 DJ de 21-06-2002 Revista Jurisprudência Mineira - Vol. 161 - Julho a Setembro de 2002 - Pág. 427 EMENTÁRIO FORENSE. Junho, 2005. Ano LVII. Nº 679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ausência da regular notificação pessoal do infrator, para que pudesse apresentar defesa, vicia o processo administrativo, o qual, por isso mesmo, não pode gerar a inscrição válida na dívida ativa, nem tampouco presta para embasar posterior execução fiscal.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2026-09-11T00:28:16.115Z</dcterms:created>
  <dcterms:modified xsi:type="dcterms:W3CDTF">2026-09-11T00:28:16.115Z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