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240.479-6</w:t>
      </w:r>
    </w:p>
    <w:p>
      <w:r>
        <w:rPr>
          <w:b/>
          <w:bCs/>
        </w:rPr>
        <w:t xml:space="preserve">Julgado em: </w:t>
      </w:r>
      <w:r>
        <w:t xml:space="preserve">01/04/2002</w:t>
      </w:r>
    </w:p>
    <w:p/>
    <w:p>
      <w:r>
        <w:t xml:space="preserve">AUSÊNCIA DE NOTIFICAÇÃO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havendo prova da notificação, ao contribuinte, do lançamento do tributo, sobretudo quando esse lançamento provém de PTA, não há como admitir a regularidade da inscrição em dívida ativa e da conseqüente emissão da CDA. - Com efeito, a certidão de dívida ativa, devidamente inscrita, goza da presunção de certeza, liquidez e exigibilidade, porém não é um título abstrato, devendo necessariamente ser comunicada ao contribuinte a origem do lançamento efetuado. - Levando-se em conta que a presente infração é de natureza comissiva, a ser constatada por um fiscal credenciado, responsável pelo auto, não há como prescindir da comunicação ao infrator, a fim de que, se for o caso, pague a multa, possibilitando-lhe ainda o direito de defesa. - A legitimidade do auto de infração só se verifica com a notificação do infrator, possibilitando assim a instauração do processo administrativo. - Nos presentes autos, verifica-se que a embargante alega a falta de autuação, bem como desconhecer o processo administrativo . - Não foi comprovada a regular notificação ao infrator, a fim de que pudesse defender-se no processo administrativo e, portanto, não há como reconhecer a regularidade da inscrição em dívida ativa, nem tampouco servir a certidão para sustentar processo de execução fiscal. - Neste ponto, esta mesma 1ª Câmara Cível, na apelação em que figurou como relator o eminente Desembargador Francisco Lopes de Albuquerque, já se manifestou: "Não havendo prova da notificação, ao contribuinte, do lançamento do tributo, sobretudo quando esse lançamento provém de PTA, não há como admitir a regularidade da inscriç ão em dívida ativa e da conseqüente emissão da CDA. Com, efeito, é cediço que a certidão de dívida ativa, devidamente inscrita, goza da presunção de certeza, liquidez e exigibilidade. Mas não se cuida de um título abstrato, pois ela deita raízes em lançamento fiscal que deve, necessariamente, ter sido comunicado ao contribuinte." (Apelação Cível nº240.479-6, julgado em 02.04.2002) - Com tais razões DÁ-SE PROVIMENTO AO RECURSO voluntário, modificando a sentença, para julgar procedentes os embargos e extinguir a execução, por ausência de título hábil a sustentar processo executivo fiscal. Ac. de 18-06-2002 DJ de 21-06-2002 Revista Jurisprudência Mineira - Vol. 161 - Julho a Setembro de 2002 - Pág. 427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da regular notificação pessoal do infrator, para que pudesse apresentar defesa, vicia o processo administrativo, o qual, por isso mesmo, não pode gerar a inscrição válida na dívida ativa, nem tampouco presta para embasar posterior execução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2026-10-26T03:49:53.264Z</dcterms:created>
  <dcterms:modified xsi:type="dcterms:W3CDTF">2026-10-26T03:49:53.264Z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