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Apelação Cível 240.479-6</w:t>
      </w:r>
    </w:p>
    <w:p>
      <w:r>
        <w:rPr>
          <w:b/>
          <w:bCs/>
        </w:rPr>
        <w:t xml:space="preserve">Julgado em: </w:t>
      </w:r>
      <w:r>
        <w:t xml:space="preserve">01/04/2002</w:t>
      </w:r>
    </w:p>
    <w:p/>
    <w:p>
      <w:r>
        <w:t xml:space="preserve">AUSÊNCIA DE NOTIFICAÇÃO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havendo prova da notificação, ao contribuinte, do lançamento do tributo, sobretudo quando esse lançamento provém de PTA, não há como admitir a regularidade da inscrição em dívida ativa e da conseqüente emissão da CDA. - Com efeito, a certidão de dívida ativa, devidamente inscrita, goza da presunção de certeza, liquidez e exigibilidade, porém não é um título abstrato, devendo necessariamente ser comunicada ao contribuinte a origem do lançamento efetuado. - Levando-se em conta que a presente infração é de natureza comissiva, a ser constatada por um fiscal credenciado, responsável pelo auto, não há como prescindir da comunicação ao infrator, a fim de que, se for o caso, pague a multa, possibilitando-lhe ainda o direito de defesa. - A legitimidade do auto de infração só se verifica com a notificação do infrator, possibilitando assim a instauração do processo administrativo. - Nos presentes autos, verifica-se que a embargante alega a falta de autuação, bem como desconhecer o processo administrativo . - Não foi comprovada a regular notificação ao infrator, a fim de que pudesse defender-se no processo administrativo e, portanto, não há como reconhecer a regularidade da inscrição em dívida ativa, nem tampouco servir a certidão para sustentar processo de execução fiscal. - Neste ponto, esta mesma 1ª Câmara Cível, na apelação em que figurou como relator o eminente Desembargador Francisco Lopes de Albuquerque, já se manifestou: "Não havendo prova da notificação, ao contribuinte, do lançamento do tributo, sobretudo quando esse lançamento provém de PTA, não há como admitir a regularidade da inscriç ão em dívida ativa e da conseqüente emissão da CDA. Com, efeito, é cediço que a certidão de dívida ativa, devidamente inscrita, goza da presunção de certeza, liquidez e exigibilidade. Mas não se cuida de um título abstrato, pois ela deita raízes em lançamento fiscal que deve, necessariamente, ter sido comunicado ao contribuinte." (Apelação Cível nº240.479-6, julgado em 02.04.2002) - Com tais razões DÁ-SE PROVIMENTO AO RECURSO voluntário, modificando a sentença, para julgar procedentes os embargos e extinguir a execução, por ausência de título hábil a sustentar processo executivo fiscal. Ac. de 18-06-2002 DJ de 21-06-2002 Revista Jurisprudência Mineira - Vol. 161 - Julho a Setembro de 2002 - Pág. 427 EMENTÁRIO FORENSE. Junho, 2005. Ano LVII. Nº 679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ausência da regular notificação pessoal do infrator, para que pudesse apresentar defesa, vicia o processo administrativo, o qual, por isso mesmo, não pode gerar a inscrição válida na dívida ativa, nem tampouco presta para embasar posterior execução fiscal.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2026-06-17T14:16:24.052Z</dcterms:created>
  <dcterms:modified xsi:type="dcterms:W3CDTF">2026-06-17T14:16:24.052Z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