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ap. 551.799-1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URBANO RUIZ</w:t>
      </w:r>
    </w:p>
    <w:p/>
    <w:p>
      <w:r>
        <w:t xml:space="preserve">CONTRATO CELEBRADO COM PESSOA APARENTE — QUANDO É VÁLIDO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WM ajuizou demanda, fundada em compromisso de compra e venda não registrado, objetivando a adjudicação compulsória de imóvel. - ............................................ - O cerne da questão reside no fato de o subscritor do contrato ... ser ou não mandatário da apelante. - Sabe-se que os negócios realizados por terceiro de boa-fé com pessoa que aparenta ser o representante de outrem reputam-se válidos, com vinculação do pretenso mandante: "Se, pois, este, por ato que lhe pode ser imputado, ou por sua conduta, permite supor a existência de uma representação regular, o ato praticado lhe é oponível" (CAIO MÁRIODA SILVA PEREIRA, "Instituições de Direito Civil", Forense, III/365, 1981). - No caso concreto, embora inexistente instrumento de procuração outorgando poderes ... para representar a apelante, o conjunto probatório revela que, com o consentimento da representante legal, ele se apresentava perante terceiros como seu mandatário. - A própria representante da apelante reconhece que o subscritor do contrato era empregado da empresa (...). Foi ele apresentado como procurador com poderes para alienar os imóveis e, nessa condição, assinou vários compromissos (...). Importâncias em dinheiro e as respectivas prestações de contas eram enviadas diretamente para ele (...). - Acrescente-se que os compromissos foram celebrados em papéis timbrados da apelante, em local considerado como sua sede. - O quadro revelado pelo conjunto probatório é típico de mandato aparente. Assim tem decidido esta Corte em situações análogas, envolvendo a mesma empresa (cf. ap. 551.799-1, 10ª C. Esp. de Janeiro/94, Rel. URBANO RUIZ, j. 13.1.94; ap. 522.647-7, 6ª C., Rel. CARLOS ROBERTO GONÇALVES, j. 6.7.93; ap. 498.578- 0, 5ª C., Rel. MAURICIO VIDIGAL, j. 21.10.92). - De resto, inexiste óbice à adjudicação compulsória do imóvel. - A orientação mais recente deste Tribunal, bem como do c. Superior Tribunal de Justiça, é no sentido de dispensar o registro do compromisso, que gera efeitos entre as partes independentemente dessa formalidade. - De fato. O registro imobiliário somente é necessário para a produção de efeitos em relação a terceiros. A falta de inscrição não impede o reconhecimento da obrigação de prestar a declaração de vontade prometida, podendo o credor valer-se da atividade jurisdicional para obter a tutela específica de seu direito, em conformidade com o disposto nos arts. 640 e 641 do CPC (JTACSP-LEX 141/434; 140/23; 132/89; AI 33.167-7-MG, Rel. Min. SÁLVIO DE FIGUEIREDO, DJ 1.4.93, p. 55.567; REsp. 23.675-0-RS, STJ, 4ª T., Rel. Min. BARROS MONTEIRO, j. 13.10.92, v.u., DJU de 30.11.92, p. 22.621; REsp. 13.639-0-SP, STJ, 4ª T., Rel. Min. SÁLVIO DE FIGUEIREDO, j. 20.10.92, v.u., DJU 16.11.92, p. 21.144; REsp. 9.945-SP, STJ, 4ª T., Rel. Min. ATHOS CARNEIRO, DJU 30.09.91, p. 13.491. Em sede doutrinária, nesse sentido, a excelente monografia de FLÁVIO YARSHELL, "Tutela jurisdicional específica nas obrigações de declaração de vontade", S. Paulo, Malheiros, 1993, p. 63; v. tb. DARCY BESSONE, "Da compra e venda", Saraiva, 1988, p. 132). - Assim, nega-se provimento ao recurso. Ac. de 24-11-1994 Revista dos Tribunais - Maio de 1995 - Vol. 715 - Pág. 174 NO MESMO SENTIDO: Apelação nº 221/88, Tr. Just. Paraná - 3ª C., Relator: Des. RENATO PEDROSO, ac. de 16.8.88. EMENTA: "Fulcrando-se a lide na teoria da aparência, eis que a aquisição imobiliária se operou através de pessoa que se intitulava representante legal da apelada, tanto que realizou outras transações; a ação havia que ser julgada procedente, pois "A segurança do comércio jurídico aconselha a validação dos atos praticados por pessoas que não têm verdade iramente o direito de realizá-las, mas que, devido a certas circunstâncias, apresentam-se aos olhos de todos como se fossem os autênticos titulares desse direito" ("Apud" ORLANDO GOMES, "Direitos Reais", Forense, 6ª ed., nº 169)". (EMFOR Nº 480). - Apelação nº 28.424, 2º Tr. Alçada do Rio de Janeiro, 7ª C., Relator: Juiz HILÁRIO ALENCAR, ac. de 28.8.86. EMENTA: "É indiscutível o direito do locatário de consignar o aluguel na forma e quantia pactuada no instrumento subscrito por quem tinha aparência de poder alugar o imóvel". (EMFOR Nº 453, t. LOCAÇÃO, st. TEORIA DA APARÊNCIA). EMFOR 569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negócios realizados por terceiro de boa-fé com pessoa que aparenta ser o representante de outrem reputam-se válidos, com vinculação do pretenso mandante.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2026-06-17T16:31:45.523Z</dcterms:created>
  <dcterms:modified xsi:type="dcterms:W3CDTF">2026-06-17T16:31:45.523Z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